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黑体" w:eastAsia="方正小标宋_GBK"/>
          <w:sz w:val="36"/>
          <w:szCs w:val="36"/>
        </w:rPr>
      </w:pPr>
      <w:r>
        <w:rPr>
          <w:rFonts w:hint="eastAsia" w:ascii="方正小标宋_GBK" w:hAnsi="黑体" w:eastAsia="方正小标宋_GBK"/>
          <w:sz w:val="36"/>
          <w:szCs w:val="36"/>
        </w:rPr>
        <w:t>材料与物理学院中层负责人工作总结表</w:t>
      </w:r>
    </w:p>
    <w:tbl>
      <w:tblPr>
        <w:tblStyle w:val="4"/>
        <w:tblW w:w="9220" w:type="dxa"/>
        <w:tblInd w:w="0" w:type="dxa"/>
        <w:tblLayout w:type="fixed"/>
        <w:tblCellMar>
          <w:top w:w="0" w:type="dxa"/>
          <w:left w:w="108" w:type="dxa"/>
          <w:bottom w:w="0" w:type="dxa"/>
          <w:right w:w="108" w:type="dxa"/>
        </w:tblCellMar>
      </w:tblPr>
      <w:tblGrid>
        <w:gridCol w:w="2255"/>
        <w:gridCol w:w="2075"/>
        <w:gridCol w:w="1619"/>
        <w:gridCol w:w="3271"/>
      </w:tblGrid>
      <w:tr>
        <w:tblPrEx>
          <w:tblCellMar>
            <w:top w:w="0" w:type="dxa"/>
            <w:left w:w="108" w:type="dxa"/>
            <w:bottom w:w="0" w:type="dxa"/>
            <w:right w:w="108" w:type="dxa"/>
          </w:tblCellMar>
        </w:tblPrEx>
        <w:trPr>
          <w:trHeight w:val="780" w:hRule="atLeast"/>
        </w:trPr>
        <w:tc>
          <w:tcPr>
            <w:tcW w:w="225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楷体" w:hAnsi="楷体" w:eastAsia="楷体" w:cs="宋体"/>
                <w:color w:val="auto"/>
                <w:kern w:val="0"/>
                <w:sz w:val="32"/>
                <w:szCs w:val="32"/>
              </w:rPr>
            </w:pPr>
            <w:r>
              <w:rPr>
                <w:rFonts w:hint="eastAsia" w:ascii="楷体" w:hAnsi="楷体" w:eastAsia="楷体" w:cs="宋体"/>
                <w:color w:val="auto"/>
                <w:kern w:val="0"/>
                <w:sz w:val="32"/>
                <w:szCs w:val="32"/>
              </w:rPr>
              <w:t>姓 名</w:t>
            </w:r>
          </w:p>
        </w:tc>
        <w:tc>
          <w:tcPr>
            <w:tcW w:w="2075"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楷体" w:hAnsi="楷体" w:eastAsia="楷体" w:cs="宋体"/>
                <w:color w:val="auto"/>
                <w:kern w:val="0"/>
                <w:sz w:val="32"/>
                <w:szCs w:val="32"/>
                <w:lang w:eastAsia="zh-CN"/>
              </w:rPr>
            </w:pPr>
            <w:r>
              <w:rPr>
                <w:rFonts w:hint="eastAsia" w:ascii="楷体" w:hAnsi="楷体" w:eastAsia="楷体" w:cs="宋体"/>
                <w:color w:val="auto"/>
                <w:kern w:val="0"/>
                <w:sz w:val="24"/>
                <w:szCs w:val="24"/>
                <w:lang w:val="en-US" w:eastAsia="zh-CN"/>
              </w:rPr>
              <w:t>任耀剑</w:t>
            </w:r>
          </w:p>
        </w:tc>
        <w:tc>
          <w:tcPr>
            <w:tcW w:w="1619"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楷体" w:hAnsi="楷体" w:eastAsia="楷体" w:cs="宋体"/>
                <w:color w:val="auto"/>
                <w:kern w:val="0"/>
                <w:sz w:val="32"/>
                <w:szCs w:val="32"/>
              </w:rPr>
            </w:pPr>
            <w:r>
              <w:rPr>
                <w:rFonts w:hint="eastAsia" w:ascii="楷体" w:hAnsi="楷体" w:eastAsia="楷体" w:cs="宋体"/>
                <w:color w:val="auto"/>
                <w:kern w:val="0"/>
                <w:sz w:val="32"/>
                <w:szCs w:val="32"/>
              </w:rPr>
              <w:t>岗位职务</w:t>
            </w:r>
          </w:p>
        </w:tc>
        <w:tc>
          <w:tcPr>
            <w:tcW w:w="3271"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楷体" w:hAnsi="楷体" w:eastAsia="楷体" w:cs="宋体"/>
                <w:color w:val="auto"/>
                <w:kern w:val="0"/>
                <w:sz w:val="32"/>
                <w:szCs w:val="32"/>
                <w:lang w:eastAsia="zh-CN"/>
              </w:rPr>
            </w:pPr>
            <w:r>
              <w:rPr>
                <w:rFonts w:hint="eastAsia" w:ascii="楷体" w:hAnsi="楷体" w:eastAsia="楷体" w:cs="宋体"/>
                <w:color w:val="auto"/>
                <w:kern w:val="0"/>
                <w:sz w:val="24"/>
                <w:szCs w:val="24"/>
                <w:lang w:eastAsia="zh-CN"/>
              </w:rPr>
              <w:t>江苏省材料科学与工程实践教学示范中心副主任</w:t>
            </w:r>
          </w:p>
        </w:tc>
      </w:tr>
      <w:tr>
        <w:tblPrEx>
          <w:tblCellMar>
            <w:top w:w="0" w:type="dxa"/>
            <w:left w:w="108" w:type="dxa"/>
            <w:bottom w:w="0" w:type="dxa"/>
            <w:right w:w="108" w:type="dxa"/>
          </w:tblCellMar>
        </w:tblPrEx>
        <w:trPr>
          <w:trHeight w:val="750" w:hRule="atLeast"/>
        </w:trPr>
        <w:tc>
          <w:tcPr>
            <w:tcW w:w="225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楷体" w:hAnsi="楷体" w:eastAsia="楷体" w:cs="宋体"/>
                <w:color w:val="auto"/>
                <w:kern w:val="0"/>
                <w:sz w:val="32"/>
                <w:szCs w:val="32"/>
              </w:rPr>
            </w:pPr>
            <w:r>
              <w:rPr>
                <w:rFonts w:hint="eastAsia" w:ascii="楷体" w:hAnsi="楷体" w:eastAsia="楷体" w:cs="宋体"/>
                <w:color w:val="auto"/>
                <w:kern w:val="0"/>
                <w:sz w:val="32"/>
                <w:szCs w:val="32"/>
              </w:rPr>
              <w:t>任职时间</w:t>
            </w:r>
          </w:p>
        </w:tc>
        <w:tc>
          <w:tcPr>
            <w:tcW w:w="207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楷体" w:hAnsi="楷体" w:eastAsia="楷体" w:cs="宋体"/>
                <w:color w:val="auto"/>
                <w:kern w:val="0"/>
                <w:sz w:val="32"/>
                <w:szCs w:val="32"/>
                <w:lang w:val="en-US" w:eastAsia="zh-CN"/>
              </w:rPr>
            </w:pPr>
            <w:r>
              <w:rPr>
                <w:rFonts w:hint="eastAsia" w:ascii="楷体" w:hAnsi="楷体" w:eastAsia="楷体" w:cs="宋体"/>
                <w:color w:val="auto"/>
                <w:kern w:val="0"/>
                <w:sz w:val="24"/>
                <w:szCs w:val="24"/>
                <w:lang w:val="en-US" w:eastAsia="zh-CN"/>
              </w:rPr>
              <w:t>2023年4月25日</w:t>
            </w:r>
          </w:p>
        </w:tc>
        <w:tc>
          <w:tcPr>
            <w:tcW w:w="161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楷体" w:hAnsi="楷体" w:eastAsia="楷体" w:cs="宋体"/>
                <w:color w:val="auto"/>
                <w:kern w:val="0"/>
                <w:sz w:val="32"/>
                <w:szCs w:val="32"/>
              </w:rPr>
            </w:pPr>
            <w:r>
              <w:rPr>
                <w:rFonts w:hint="eastAsia" w:ascii="楷体" w:hAnsi="楷体" w:eastAsia="楷体" w:cs="宋体"/>
                <w:color w:val="auto"/>
                <w:kern w:val="0"/>
                <w:sz w:val="32"/>
                <w:szCs w:val="32"/>
              </w:rPr>
              <w:t>负责工作</w:t>
            </w:r>
          </w:p>
        </w:tc>
        <w:tc>
          <w:tcPr>
            <w:tcW w:w="327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eastAsia" w:ascii="楷体" w:hAnsi="楷体" w:eastAsia="楷体" w:cs="宋体"/>
                <w:color w:val="auto"/>
                <w:kern w:val="0"/>
                <w:sz w:val="32"/>
                <w:szCs w:val="32"/>
                <w:lang w:eastAsia="zh-CN"/>
              </w:rPr>
            </w:pPr>
            <w:r>
              <w:rPr>
                <w:rFonts w:hint="eastAsia" w:ascii="楷体" w:hAnsi="楷体" w:eastAsia="楷体" w:cs="宋体"/>
                <w:color w:val="auto"/>
                <w:kern w:val="0"/>
                <w:sz w:val="24"/>
                <w:szCs w:val="24"/>
                <w:lang w:eastAsia="zh-CN"/>
              </w:rPr>
              <w:t>实验室总体工作</w:t>
            </w:r>
          </w:p>
        </w:tc>
      </w:tr>
      <w:tr>
        <w:tblPrEx>
          <w:tblCellMar>
            <w:top w:w="0" w:type="dxa"/>
            <w:left w:w="108" w:type="dxa"/>
            <w:bottom w:w="0" w:type="dxa"/>
            <w:right w:w="108" w:type="dxa"/>
          </w:tblCellMar>
        </w:tblPrEx>
        <w:trPr>
          <w:trHeight w:val="624" w:hRule="atLeast"/>
        </w:trPr>
        <w:tc>
          <w:tcPr>
            <w:tcW w:w="2255" w:type="dxa"/>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楷体" w:hAnsi="楷体" w:eastAsia="楷体" w:cs="宋体"/>
                <w:color w:val="auto"/>
                <w:kern w:val="0"/>
                <w:sz w:val="32"/>
                <w:szCs w:val="32"/>
              </w:rPr>
            </w:pPr>
            <w:r>
              <w:rPr>
                <w:rFonts w:hint="eastAsia" w:ascii="楷体" w:hAnsi="楷体" w:eastAsia="楷体" w:cs="宋体"/>
                <w:color w:val="auto"/>
                <w:kern w:val="0"/>
                <w:sz w:val="32"/>
                <w:szCs w:val="32"/>
              </w:rPr>
              <w:t>承担工作职责</w:t>
            </w:r>
          </w:p>
        </w:tc>
        <w:tc>
          <w:tcPr>
            <w:tcW w:w="6965"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2"/>
                <w:szCs w:val="32"/>
              </w:rPr>
            </w:pPr>
            <w:r>
              <w:rPr>
                <w:rFonts w:hint="eastAsia" w:ascii="楷体" w:hAnsi="楷体" w:eastAsia="楷体" w:cs="宋体"/>
                <w:color w:val="auto"/>
                <w:kern w:val="0"/>
                <w:sz w:val="24"/>
                <w:szCs w:val="24"/>
                <w:lang w:eastAsia="zh-CN"/>
              </w:rPr>
              <w:t>负责实验室建设、管理工作、负责仪器设备管理工作、负责实验室安全与环保工作、负责实验技术队伍管理、监督指导安全员开展工作等。</w:t>
            </w:r>
          </w:p>
        </w:tc>
      </w:tr>
      <w:tr>
        <w:tblPrEx>
          <w:tblCellMar>
            <w:top w:w="0" w:type="dxa"/>
            <w:left w:w="108" w:type="dxa"/>
            <w:bottom w:w="0" w:type="dxa"/>
            <w:right w:w="108" w:type="dxa"/>
          </w:tblCellMar>
        </w:tblPrEx>
        <w:trPr>
          <w:trHeight w:val="312" w:hRule="atLeast"/>
        </w:trPr>
        <w:tc>
          <w:tcPr>
            <w:tcW w:w="225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c>
          <w:tcPr>
            <w:tcW w:w="6965"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225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c>
          <w:tcPr>
            <w:tcW w:w="6965"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225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c>
          <w:tcPr>
            <w:tcW w:w="6965"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450" w:hRule="atLeast"/>
        </w:trPr>
        <w:tc>
          <w:tcPr>
            <w:tcW w:w="9220"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楷体" w:hAnsi="楷体" w:eastAsia="楷体" w:cs="宋体"/>
                <w:color w:val="auto"/>
                <w:kern w:val="0"/>
                <w:sz w:val="36"/>
                <w:szCs w:val="36"/>
              </w:rPr>
            </w:pPr>
            <w:r>
              <w:rPr>
                <w:rFonts w:hint="eastAsia" w:ascii="楷体" w:hAnsi="楷体" w:eastAsia="楷体" w:cs="宋体"/>
                <w:color w:val="auto"/>
                <w:kern w:val="0"/>
                <w:sz w:val="32"/>
                <w:szCs w:val="32"/>
              </w:rPr>
              <w:t>工作总结</w:t>
            </w:r>
            <w:r>
              <w:rPr>
                <w:rFonts w:hint="eastAsia" w:ascii="楷体" w:hAnsi="楷体" w:eastAsia="楷体" w:cs="宋体"/>
                <w:color w:val="auto"/>
                <w:kern w:val="0"/>
                <w:sz w:val="24"/>
                <w:szCs w:val="24"/>
              </w:rPr>
              <w:t xml:space="preserve">（要求写具体事情 </w:t>
            </w:r>
            <w:r>
              <w:rPr>
                <w:rFonts w:hint="default" w:ascii="楷体" w:hAnsi="楷体" w:eastAsia="楷体" w:cs="宋体"/>
                <w:color w:val="auto"/>
                <w:kern w:val="0"/>
                <w:sz w:val="24"/>
                <w:szCs w:val="24"/>
              </w:rPr>
              <w:t xml:space="preserve"> </w:t>
            </w:r>
            <w:r>
              <w:rPr>
                <w:rFonts w:hint="eastAsia" w:ascii="楷体" w:hAnsi="楷体" w:eastAsia="楷体" w:cs="宋体"/>
                <w:color w:val="auto"/>
                <w:kern w:val="0"/>
                <w:sz w:val="24"/>
                <w:szCs w:val="24"/>
              </w:rPr>
              <w:t>原则不超过</w:t>
            </w:r>
            <w:r>
              <w:rPr>
                <w:rFonts w:hint="default" w:ascii="楷体" w:hAnsi="楷体" w:eastAsia="楷体" w:cs="宋体"/>
                <w:color w:val="auto"/>
                <w:kern w:val="0"/>
                <w:sz w:val="24"/>
                <w:szCs w:val="24"/>
              </w:rPr>
              <w:t>1000字</w:t>
            </w:r>
            <w:r>
              <w:rPr>
                <w:rFonts w:hint="eastAsia" w:ascii="楷体" w:hAnsi="楷体" w:eastAsia="楷体" w:cs="宋体"/>
                <w:color w:val="auto"/>
                <w:kern w:val="0"/>
                <w:sz w:val="24"/>
                <w:szCs w:val="24"/>
              </w:rPr>
              <w:t>）</w:t>
            </w:r>
          </w:p>
        </w:tc>
      </w:tr>
      <w:tr>
        <w:tblPrEx>
          <w:tblCellMar>
            <w:top w:w="0" w:type="dxa"/>
            <w:left w:w="108" w:type="dxa"/>
            <w:bottom w:w="0" w:type="dxa"/>
            <w:right w:w="108" w:type="dxa"/>
          </w:tblCellMar>
        </w:tblPrEx>
        <w:trPr>
          <w:trHeight w:val="624" w:hRule="atLeast"/>
        </w:trPr>
        <w:tc>
          <w:tcPr>
            <w:tcW w:w="9220"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val="0"/>
              <w:suppressLineNumbers w:val="0"/>
              <w:spacing w:before="0" w:beforeAutospacing="0" w:after="0" w:afterAutospacing="0" w:line="360" w:lineRule="auto"/>
              <w:ind w:left="0" w:right="0"/>
              <w:jc w:val="both"/>
              <w:rPr>
                <w:rFonts w:hint="eastAsia" w:ascii="黑体" w:hAnsi="宋体" w:eastAsia="黑体" w:cs="黑体"/>
                <w:b/>
                <w:bCs w:val="0"/>
                <w:color w:val="auto"/>
                <w:sz w:val="24"/>
                <w:szCs w:val="24"/>
                <w:lang w:val="en-US"/>
              </w:rPr>
            </w:pPr>
            <w:r>
              <w:rPr>
                <w:rFonts w:hint="eastAsia" w:ascii="黑体" w:hAnsi="宋体" w:eastAsia="黑体" w:cs="黑体"/>
                <w:b/>
                <w:bCs w:val="0"/>
                <w:color w:val="auto"/>
                <w:kern w:val="2"/>
                <w:sz w:val="24"/>
                <w:szCs w:val="24"/>
                <w:lang w:val="en-US" w:eastAsia="zh-CN" w:bidi="ar"/>
              </w:rPr>
              <w:t>实验室建设和管理工作</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按照学院公房调整规划，完成了实践教学中心实验室规划布局工作，完成了30间实验室调整、水电改造和装修、实验台和设备搬移、风险评估及信息更新工作。</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sz w:val="24"/>
                <w:szCs w:val="24"/>
                <w:lang w:val="en-US"/>
              </w:rPr>
            </w:pPr>
            <w:r>
              <w:rPr>
                <w:rFonts w:hint="eastAsia" w:ascii="楷体" w:hAnsi="楷体" w:eastAsia="楷体" w:cs="楷体"/>
                <w:color w:val="auto"/>
                <w:kern w:val="2"/>
                <w:sz w:val="24"/>
                <w:szCs w:val="24"/>
                <w:lang w:val="en-US" w:eastAsia="zh-CN" w:bidi="ar"/>
              </w:rPr>
              <w:t>按照时间节点要求完成了实践中心2023年中央高校改善基本办学条件资金39.6万元的执行工作。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3、完成实验室规章制度、特种设备、高温设备操作规程等上墙95块、仪器操作立牌90余套、更新急救药品65余套、逃生路线图80张、5间实验室门禁系统和监控更新工作，补齐门牌数字39套，设置实验服暂存箱2处，2023年共投入实验室安全与建设经费共计273041.83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4、规范实验室日常管理运行，完善相关制度。组织安全工作领导小组（扩大）会议1次，实验室与建设管理委员会会议2次，实验室用房工作调配会议1次，2024改善基本办学条件专项资金项目申报论证会1次，新能源实验室主题安全教育1次，参加涉及实验室工作的党政联席会会议9次。制定了《材料与物理学院实验室结算费用使用办法（试行）》、《材料与物理学院实验室安全违规扣分实施细则（试行）》、《材料与物理学院夜间实验室使用和过夜运行实验室电器管理办法》3个文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sz w:val="24"/>
                <w:szCs w:val="24"/>
                <w:lang w:val="en-US"/>
              </w:rPr>
            </w:pPr>
            <w:r>
              <w:rPr>
                <w:rFonts w:hint="eastAsia" w:ascii="楷体" w:hAnsi="楷体" w:eastAsia="楷体" w:cs="楷体"/>
                <w:color w:val="auto"/>
                <w:kern w:val="2"/>
                <w:sz w:val="24"/>
                <w:szCs w:val="24"/>
                <w:lang w:val="en-US" w:eastAsia="zh-CN" w:bidi="ar"/>
              </w:rPr>
              <w:t>5、定期召开实验技术人员会议；多次组织实验技术人员参加教育培训活动；制定学院实验技术人员2024-2026岗聘条例，做好实验技术人员分工协调工作。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6、协助做好新购资产的验收、报账工作。实践中心全年资产新增116台，1592978.87元；报废272台件，总值4680895元。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sz w:val="24"/>
                <w:szCs w:val="24"/>
                <w:lang w:val="en-US"/>
              </w:rPr>
            </w:pPr>
            <w:r>
              <w:rPr>
                <w:rFonts w:hint="eastAsia" w:ascii="楷体" w:hAnsi="楷体" w:eastAsia="楷体" w:cs="楷体"/>
                <w:color w:val="auto"/>
                <w:kern w:val="2"/>
                <w:sz w:val="24"/>
                <w:szCs w:val="24"/>
                <w:lang w:val="en-US" w:eastAsia="zh-CN" w:bidi="ar"/>
              </w:rPr>
              <w:t>7、做好扫描电镜、场发射扫描电镜和X射线衍射仪三台大仪交接、人员聘用和管理工作，保证设备正常运行。做好大仪设备共享测试和收费问题协调工作。完成学校下达的大型仪器测试任务和2021年设备占用费的收取工作。修订了学院大仪共享开放管理办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sz w:val="24"/>
                <w:szCs w:val="24"/>
                <w:lang w:val="en-US"/>
              </w:rPr>
            </w:pPr>
            <w:r>
              <w:rPr>
                <w:rFonts w:hint="eastAsia" w:ascii="楷体" w:hAnsi="楷体" w:eastAsia="楷体" w:cs="楷体"/>
                <w:color w:val="auto"/>
                <w:kern w:val="2"/>
                <w:sz w:val="24"/>
                <w:szCs w:val="24"/>
                <w:lang w:val="en-US" w:eastAsia="zh-CN" w:bidi="ar"/>
              </w:rPr>
              <w:t>8、做好教学和科研服务工作，接待校外单位考察参观10余次。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241" w:right="0" w:hanging="241" w:hangingChars="100"/>
              <w:jc w:val="both"/>
              <w:textAlignment w:val="auto"/>
              <w:rPr>
                <w:rFonts w:hint="eastAsia" w:ascii="黑体" w:hAnsi="宋体" w:eastAsia="黑体" w:cs="黑体"/>
                <w:b/>
                <w:bCs w:val="0"/>
                <w:color w:val="auto"/>
                <w:sz w:val="24"/>
                <w:szCs w:val="24"/>
                <w:lang w:val="en-US"/>
              </w:rPr>
            </w:pPr>
            <w:r>
              <w:rPr>
                <w:rFonts w:hint="eastAsia" w:ascii="黑体" w:hAnsi="宋体" w:eastAsia="黑体" w:cs="黑体"/>
                <w:b/>
                <w:bCs w:val="0"/>
                <w:color w:val="auto"/>
                <w:kern w:val="2"/>
                <w:sz w:val="24"/>
                <w:szCs w:val="24"/>
                <w:lang w:val="en-US" w:eastAsia="zh-CN" w:bidi="ar"/>
              </w:rPr>
              <w:t>教学工作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sz w:val="24"/>
                <w:szCs w:val="24"/>
                <w:lang w:val="en-US"/>
              </w:rPr>
            </w:pPr>
            <w:r>
              <w:rPr>
                <w:rFonts w:hint="eastAsia" w:ascii="楷体" w:hAnsi="楷体" w:eastAsia="楷体" w:cs="楷体"/>
                <w:color w:val="auto"/>
                <w:kern w:val="2"/>
                <w:sz w:val="24"/>
                <w:szCs w:val="24"/>
                <w:lang w:val="en-US" w:eastAsia="zh-CN" w:bidi="ar"/>
              </w:rPr>
              <w:t>1、负责撰写材料专业工程认证自评报告第7部分内容，负责拍摄实验中心宣传视频，负责线上考察实验室准备和直播工作。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sz w:val="24"/>
                <w:szCs w:val="24"/>
                <w:lang w:val="en-US"/>
              </w:rPr>
            </w:pPr>
            <w:r>
              <w:rPr>
                <w:rFonts w:hint="eastAsia" w:ascii="楷体" w:hAnsi="楷体" w:eastAsia="楷体" w:cs="楷体"/>
                <w:color w:val="auto"/>
                <w:kern w:val="2"/>
                <w:sz w:val="24"/>
                <w:szCs w:val="24"/>
                <w:lang w:val="en-US" w:eastAsia="zh-CN" w:bidi="ar"/>
              </w:rPr>
              <w:t>2、配合学院完成本科教育教学评估工作。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3、完成材料专业实验教学准备、服务工作，包括设备维修、耗材采购、排课等；全年完成排课692次，上课21094人学时。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sz w:val="24"/>
                <w:szCs w:val="24"/>
                <w:lang w:val="en-US"/>
              </w:rPr>
            </w:pPr>
            <w:r>
              <w:rPr>
                <w:rFonts w:hint="eastAsia" w:ascii="楷体" w:hAnsi="楷体" w:eastAsia="楷体" w:cs="楷体"/>
                <w:color w:val="auto"/>
                <w:kern w:val="2"/>
                <w:sz w:val="24"/>
                <w:szCs w:val="24"/>
                <w:lang w:val="en-US" w:eastAsia="zh-CN" w:bidi="ar"/>
              </w:rPr>
              <w:t>4、负责组织南京市本科生宣传招生工作。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jc w:val="both"/>
              <w:textAlignment w:val="auto"/>
              <w:rPr>
                <w:rFonts w:hint="eastAsia" w:ascii="黑体" w:hAnsi="宋体" w:eastAsia="黑体" w:cs="黑体"/>
                <w:b/>
                <w:bCs w:val="0"/>
                <w:color w:val="auto"/>
                <w:sz w:val="24"/>
                <w:szCs w:val="24"/>
                <w:lang w:val="en-US"/>
              </w:rPr>
            </w:pPr>
            <w:r>
              <w:rPr>
                <w:rFonts w:hint="eastAsia" w:ascii="黑体" w:hAnsi="宋体" w:eastAsia="黑体" w:cs="黑体"/>
                <w:b/>
                <w:bCs w:val="0"/>
                <w:color w:val="auto"/>
                <w:kern w:val="2"/>
                <w:sz w:val="24"/>
                <w:szCs w:val="24"/>
                <w:lang w:val="en-US" w:eastAsia="zh-CN" w:bidi="ar"/>
              </w:rPr>
              <w:t>安全工作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sz w:val="24"/>
                <w:szCs w:val="24"/>
                <w:lang w:val="en-US"/>
              </w:rPr>
            </w:pPr>
            <w:r>
              <w:rPr>
                <w:rFonts w:hint="eastAsia" w:ascii="楷体" w:hAnsi="楷体" w:eastAsia="楷体" w:cs="楷体"/>
                <w:color w:val="auto"/>
                <w:kern w:val="2"/>
                <w:sz w:val="24"/>
                <w:szCs w:val="24"/>
                <w:lang w:val="en-US" w:eastAsia="zh-CN" w:bidi="ar"/>
              </w:rPr>
              <w:t>1、健全和完善安全管理体系。更新了五级网格安全生产责任体系，与团队负责人、实验室负责人签署了安全管理责任状，与各区域使用人（含学生）签署了安全承诺书。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default"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2、抓好实验室安全工作，健全和完善安全管理体系，出台相关文件3项，参加业务培训10次，讲授本科生和研究生安全课程、开展安全准入培训18次。2023年共计505人参加实验室安全准入考试，通过率100%。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3、开展安全隐患排查与整改工作。建立与健全本单位安全台账，对重点安全区域（例如危化品、使用活泼金属和易制毒易制爆实验室）进行重点防控，对安全危险源进行全生命周期管理。全年安全检查40次，配合各级检查18次，发现安全隐患185条，下达整改通知书12份。处理安全废弃物2.6吨。本年度无安全生产事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eastAsia" w:ascii="楷体" w:hAnsi="楷体" w:eastAsia="楷体" w:cs="楷体"/>
                <w:color w:val="auto"/>
                <w:sz w:val="24"/>
                <w:szCs w:val="24"/>
                <w:lang w:val="en-US"/>
              </w:rPr>
            </w:pPr>
            <w:r>
              <w:rPr>
                <w:rFonts w:hint="eastAsia" w:ascii="楷体" w:hAnsi="楷体" w:eastAsia="楷体" w:cs="楷体"/>
                <w:color w:val="auto"/>
                <w:kern w:val="2"/>
                <w:sz w:val="24"/>
                <w:szCs w:val="24"/>
                <w:lang w:val="en-US" w:eastAsia="zh-CN" w:bidi="ar"/>
              </w:rPr>
              <w:t>4、组织实验技术队伍参加校第二届安全技能大赛，获得一等奖两项；承办了第二届实验室健康安全环境管理训练营的安全检查培训工作。承接设备处活泼金属安全教育虚拟仿真项目建设；组织学生参加失效分析大赛,取得一等奖4项、二等奖1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480" w:firstLineChars="200"/>
              <w:jc w:val="both"/>
              <w:textAlignment w:val="auto"/>
              <w:rPr>
                <w:rFonts w:hint="default" w:ascii="楷体" w:hAnsi="楷体" w:eastAsia="楷体" w:cs="宋体"/>
                <w:color w:val="auto"/>
                <w:kern w:val="0"/>
                <w:sz w:val="36"/>
                <w:szCs w:val="36"/>
              </w:rPr>
            </w:pPr>
            <w:r>
              <w:rPr>
                <w:rFonts w:hint="eastAsia" w:ascii="楷体" w:hAnsi="楷体" w:eastAsia="楷体" w:cs="楷体"/>
                <w:color w:val="auto"/>
                <w:kern w:val="2"/>
                <w:sz w:val="24"/>
                <w:szCs w:val="24"/>
                <w:lang w:val="en-US" w:eastAsia="zh-CN" w:bidi="ar"/>
              </w:rPr>
              <w:t>5、邀请第一人民医院急诊科护士长等对全院研究生和部分高年级本科生进行了心肺复苏和化学试剂洒落应急救援与培训。完善与预演了活泼金属事故处置，应急处理能力有较大提高。</w:t>
            </w:r>
            <w:r>
              <w:rPr>
                <w:rFonts w:hint="eastAsia" w:ascii="楷体" w:hAnsi="楷体" w:eastAsia="楷体" w:cs="宋体"/>
                <w:color w:val="auto"/>
                <w:kern w:val="0"/>
                <w:sz w:val="36"/>
                <w:szCs w:val="36"/>
              </w:rPr>
              <w:t xml:space="preserve"> </w:t>
            </w:r>
            <w:r>
              <w:rPr>
                <w:rFonts w:hint="default" w:ascii="楷体" w:hAnsi="楷体" w:eastAsia="楷体" w:cs="宋体"/>
                <w:color w:val="auto"/>
                <w:kern w:val="0"/>
                <w:sz w:val="36"/>
                <w:szCs w:val="36"/>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720" w:firstLineChars="200"/>
              <w:jc w:val="both"/>
              <w:textAlignment w:val="auto"/>
              <w:rPr>
                <w:rFonts w:hint="default" w:ascii="楷体" w:hAnsi="楷体" w:eastAsia="楷体" w:cs="宋体"/>
                <w:color w:val="auto"/>
                <w:kern w:val="0"/>
                <w:sz w:val="36"/>
                <w:szCs w:val="36"/>
              </w:rPr>
            </w:pPr>
            <w:r>
              <w:rPr>
                <w:rFonts w:hint="default" w:ascii="楷体" w:hAnsi="楷体" w:eastAsia="楷体" w:cs="宋体"/>
                <w:color w:val="auto"/>
                <w:kern w:val="0"/>
                <w:sz w:val="36"/>
                <w:szCs w:val="36"/>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720" w:firstLineChars="200"/>
              <w:jc w:val="both"/>
              <w:textAlignment w:val="auto"/>
              <w:rPr>
                <w:rFonts w:hint="default" w:ascii="楷体" w:hAnsi="楷体" w:eastAsia="楷体" w:cs="宋体"/>
                <w:color w:val="auto"/>
                <w:kern w:val="0"/>
                <w:sz w:val="36"/>
                <w:szCs w:val="36"/>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720" w:firstLineChars="200"/>
              <w:jc w:val="both"/>
              <w:textAlignment w:val="auto"/>
              <w:rPr>
                <w:rFonts w:hint="default" w:ascii="楷体" w:hAnsi="楷体" w:eastAsia="楷体" w:cs="宋体"/>
                <w:color w:val="auto"/>
                <w:kern w:val="0"/>
                <w:sz w:val="36"/>
                <w:szCs w:val="36"/>
              </w:rPr>
            </w:pPr>
            <w:bookmarkStart w:id="0" w:name="_GoBack"/>
            <w:bookmarkEnd w:id="0"/>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12" w:lineRule="auto"/>
              <w:ind w:left="0" w:right="0" w:firstLine="720" w:firstLineChars="200"/>
              <w:jc w:val="both"/>
              <w:textAlignment w:val="auto"/>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1556"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r>
        <w:tblPrEx>
          <w:tblCellMar>
            <w:top w:w="0" w:type="dxa"/>
            <w:left w:w="108" w:type="dxa"/>
            <w:bottom w:w="0" w:type="dxa"/>
            <w:right w:w="108" w:type="dxa"/>
          </w:tblCellMar>
        </w:tblPrEx>
        <w:trPr>
          <w:trHeight w:val="624" w:hRule="atLeast"/>
        </w:trPr>
        <w:tc>
          <w:tcPr>
            <w:tcW w:w="2255" w:type="dxa"/>
            <w:vMerge w:val="restart"/>
            <w:tcBorders>
              <w:top w:val="nil"/>
              <w:left w:val="single" w:color="auto" w:sz="4" w:space="0"/>
              <w:bottom w:val="single" w:color="000000" w:sz="4" w:space="0"/>
              <w:right w:val="nil"/>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楷体" w:hAnsi="楷体" w:eastAsia="楷体" w:cs="宋体"/>
                <w:color w:val="auto"/>
                <w:kern w:val="0"/>
                <w:sz w:val="32"/>
                <w:szCs w:val="32"/>
              </w:rPr>
            </w:pPr>
            <w:r>
              <w:rPr>
                <w:rFonts w:hint="eastAsia" w:ascii="楷体" w:hAnsi="楷体" w:eastAsia="楷体" w:cs="宋体"/>
                <w:color w:val="auto"/>
                <w:kern w:val="0"/>
                <w:sz w:val="32"/>
                <w:szCs w:val="32"/>
              </w:rPr>
              <w:t>备注</w:t>
            </w:r>
          </w:p>
        </w:tc>
        <w:tc>
          <w:tcPr>
            <w:tcW w:w="6965" w:type="dxa"/>
            <w:gridSpan w:val="3"/>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rPr>
                <w:rFonts w:hint="default" w:ascii="楷体" w:hAnsi="楷体" w:eastAsia="楷体" w:cs="宋体"/>
                <w:color w:val="auto"/>
                <w:kern w:val="0"/>
                <w:sz w:val="36"/>
                <w:szCs w:val="36"/>
              </w:rPr>
            </w:pPr>
            <w:r>
              <w:rPr>
                <w:rFonts w:hint="eastAsia" w:ascii="楷体" w:hAnsi="楷体" w:eastAsia="楷体" w:cs="宋体"/>
                <w:color w:val="auto"/>
                <w:kern w:val="0"/>
                <w:sz w:val="36"/>
                <w:szCs w:val="36"/>
              </w:rPr>
              <w:t>　</w:t>
            </w:r>
          </w:p>
        </w:tc>
      </w:tr>
      <w:tr>
        <w:tblPrEx>
          <w:tblCellMar>
            <w:top w:w="0" w:type="dxa"/>
            <w:left w:w="108" w:type="dxa"/>
            <w:bottom w:w="0" w:type="dxa"/>
            <w:right w:w="108" w:type="dxa"/>
          </w:tblCellMar>
        </w:tblPrEx>
        <w:trPr>
          <w:trHeight w:val="312" w:hRule="atLeast"/>
        </w:trPr>
        <w:tc>
          <w:tcPr>
            <w:tcW w:w="2255" w:type="dxa"/>
            <w:vMerge w:val="continue"/>
            <w:tcBorders>
              <w:top w:val="nil"/>
              <w:left w:val="single" w:color="auto" w:sz="4" w:space="0"/>
              <w:bottom w:val="single" w:color="000000" w:sz="4" w:space="0"/>
              <w:right w:val="nil"/>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c>
          <w:tcPr>
            <w:tcW w:w="6965" w:type="dxa"/>
            <w:gridSpan w:val="3"/>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ind w:left="0" w:right="0"/>
              <w:jc w:val="left"/>
              <w:rPr>
                <w:rFonts w:hint="default" w:ascii="楷体" w:hAnsi="楷体" w:eastAsia="楷体" w:cs="宋体"/>
                <w:color w:val="auto"/>
                <w:kern w:val="0"/>
                <w:sz w:val="36"/>
                <w:szCs w:val="36"/>
              </w:rPr>
            </w:pPr>
          </w:p>
        </w:tc>
      </w:tr>
    </w:tbl>
    <w:p>
      <w:pPr>
        <w:rPr>
          <w:rFonts w:ascii="方正小标宋_GBK" w:hAnsi="黑体" w:eastAsia="方正小标宋_GBK"/>
          <w:b/>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E7CBE8"/>
    <w:multiLevelType w:val="singleLevel"/>
    <w:tmpl w:val="B7E7CBE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05C"/>
    <w:rsid w:val="00612AAB"/>
    <w:rsid w:val="00735601"/>
    <w:rsid w:val="00822812"/>
    <w:rsid w:val="009222CF"/>
    <w:rsid w:val="00923535"/>
    <w:rsid w:val="00945B35"/>
    <w:rsid w:val="00BE205C"/>
    <w:rsid w:val="00DD7CDE"/>
    <w:rsid w:val="00DF211D"/>
    <w:rsid w:val="00FF24FD"/>
    <w:rsid w:val="04B960F3"/>
    <w:rsid w:val="0593795C"/>
    <w:rsid w:val="05E23036"/>
    <w:rsid w:val="083744E8"/>
    <w:rsid w:val="08697585"/>
    <w:rsid w:val="0E723F0E"/>
    <w:rsid w:val="15F626D9"/>
    <w:rsid w:val="18585013"/>
    <w:rsid w:val="1A102D91"/>
    <w:rsid w:val="1A474465"/>
    <w:rsid w:val="1C0764D9"/>
    <w:rsid w:val="275D2BBD"/>
    <w:rsid w:val="31A45400"/>
    <w:rsid w:val="39E740F9"/>
    <w:rsid w:val="3B766203"/>
    <w:rsid w:val="3C81609F"/>
    <w:rsid w:val="4DE01A20"/>
    <w:rsid w:val="5A8B75F0"/>
    <w:rsid w:val="5E63381F"/>
    <w:rsid w:val="5E865C52"/>
    <w:rsid w:val="5F1A09F4"/>
    <w:rsid w:val="600277C2"/>
    <w:rsid w:val="6337250D"/>
    <w:rsid w:val="66D205C7"/>
    <w:rsid w:val="7003131B"/>
    <w:rsid w:val="71630AA2"/>
    <w:rsid w:val="716F13A8"/>
    <w:rsid w:val="788F4CD8"/>
    <w:rsid w:val="79C23758"/>
    <w:rsid w:val="79EC1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26</Words>
  <Characters>149</Characters>
  <Lines>1</Lines>
  <Paragraphs>1</Paragraphs>
  <TotalTime>27</TotalTime>
  <ScaleCrop>false</ScaleCrop>
  <LinksUpToDate>false</LinksUpToDate>
  <CharactersWithSpaces>174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2023-12-27T00:41:00Z</dcterms:created>
  <dc:creator>admin</dc:creator>
  <cp:lastModifiedBy>任耀剑</cp:lastModifiedBy>
  <dcterms:modified xsi:type="dcterms:W3CDTF">2024-01-04T01:05:16Z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A67C3A4556FA47E1A5F48266A4ECBD90</vt:lpwstr>
  </property>
</Properties>
</file>