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黑体" w:eastAsia="方正小标宋_GBK"/>
          <w:sz w:val="36"/>
          <w:szCs w:val="36"/>
        </w:rPr>
      </w:pPr>
      <w:r>
        <w:rPr>
          <w:rFonts w:hint="eastAsia" w:ascii="方正小标宋_GBK" w:hAnsi="黑体" w:eastAsia="方正小标宋_GBK"/>
          <w:sz w:val="36"/>
          <w:szCs w:val="36"/>
        </w:rPr>
        <w:t>材料与物理学院中层负责人工作总结表</w:t>
      </w:r>
    </w:p>
    <w:tbl>
      <w:tblPr>
        <w:tblStyle w:val="5"/>
        <w:tblW w:w="8650" w:type="dxa"/>
        <w:tblInd w:w="0" w:type="dxa"/>
        <w:tblLayout w:type="fixed"/>
        <w:tblCellMar>
          <w:top w:w="0" w:type="dxa"/>
          <w:left w:w="108" w:type="dxa"/>
          <w:bottom w:w="0" w:type="dxa"/>
          <w:right w:w="108" w:type="dxa"/>
        </w:tblCellMar>
      </w:tblPr>
      <w:tblGrid>
        <w:gridCol w:w="2400"/>
        <w:gridCol w:w="1706"/>
        <w:gridCol w:w="1843"/>
        <w:gridCol w:w="2701"/>
      </w:tblGrid>
      <w:tr>
        <w:tblPrEx>
          <w:tblCellMar>
            <w:top w:w="0" w:type="dxa"/>
            <w:left w:w="108" w:type="dxa"/>
            <w:bottom w:w="0" w:type="dxa"/>
            <w:right w:w="108" w:type="dxa"/>
          </w:tblCellMar>
        </w:tblPrEx>
        <w:trPr>
          <w:trHeight w:val="780" w:hRule="atLeast"/>
        </w:trPr>
        <w:tc>
          <w:tcPr>
            <w:tcW w:w="24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姓 名</w:t>
            </w:r>
          </w:p>
        </w:tc>
        <w:tc>
          <w:tcPr>
            <w:tcW w:w="170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新宋体" w:hAnsi="新宋体" w:eastAsia="新宋体" w:cs="新宋体"/>
                <w:color w:val="000000"/>
                <w:kern w:val="0"/>
                <w:sz w:val="32"/>
                <w:szCs w:val="32"/>
                <w:lang w:val="en-US" w:eastAsia="zh-CN"/>
              </w:rPr>
            </w:pPr>
            <w:r>
              <w:rPr>
                <w:rFonts w:hint="eastAsia" w:ascii="新宋体" w:hAnsi="新宋体" w:eastAsia="新宋体" w:cs="新宋体"/>
                <w:color w:val="000000"/>
                <w:kern w:val="0"/>
                <w:sz w:val="32"/>
                <w:szCs w:val="32"/>
              </w:rPr>
              <w:t>　</w:t>
            </w:r>
            <w:r>
              <w:rPr>
                <w:rFonts w:hint="eastAsia" w:ascii="新宋体" w:hAnsi="新宋体" w:eastAsia="新宋体" w:cs="新宋体"/>
                <w:color w:val="000000"/>
                <w:kern w:val="0"/>
                <w:sz w:val="32"/>
                <w:szCs w:val="32"/>
                <w:lang w:val="en-US" w:eastAsia="zh-CN"/>
              </w:rPr>
              <w:t>李海鹏</w:t>
            </w:r>
          </w:p>
        </w:tc>
        <w:tc>
          <w:tcPr>
            <w:tcW w:w="18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岗位职务</w:t>
            </w:r>
          </w:p>
        </w:tc>
        <w:tc>
          <w:tcPr>
            <w:tcW w:w="2701" w:type="dxa"/>
            <w:tcBorders>
              <w:top w:val="single" w:color="auto" w:sz="4" w:space="0"/>
              <w:left w:val="nil"/>
              <w:bottom w:val="single" w:color="auto" w:sz="4" w:space="0"/>
              <w:right w:val="single" w:color="auto" w:sz="4" w:space="0"/>
            </w:tcBorders>
            <w:shd w:val="clear" w:color="auto" w:fill="auto"/>
            <w:noWrap/>
            <w:vAlign w:val="center"/>
          </w:tcPr>
          <w:p>
            <w:pPr>
              <w:widowControl/>
              <w:numPr>
                <w:ilvl w:val="0"/>
                <w:numId w:val="1"/>
              </w:numPr>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光电系副主任、对外联络工作办公室副主任</w:t>
            </w:r>
          </w:p>
        </w:tc>
      </w:tr>
      <w:tr>
        <w:tblPrEx>
          <w:tblCellMar>
            <w:top w:w="0" w:type="dxa"/>
            <w:left w:w="108" w:type="dxa"/>
            <w:bottom w:w="0" w:type="dxa"/>
            <w:right w:w="108" w:type="dxa"/>
          </w:tblCellMar>
        </w:tblPrEx>
        <w:trPr>
          <w:trHeight w:val="750" w:hRule="atLeast"/>
        </w:trPr>
        <w:tc>
          <w:tcPr>
            <w:tcW w:w="24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任职时间</w:t>
            </w:r>
          </w:p>
        </w:tc>
        <w:tc>
          <w:tcPr>
            <w:tcW w:w="170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新宋体" w:hAnsi="新宋体" w:eastAsia="新宋体" w:cs="新宋体"/>
                <w:color w:val="000000"/>
                <w:kern w:val="0"/>
                <w:sz w:val="32"/>
                <w:szCs w:val="32"/>
                <w:lang w:val="en-US" w:eastAsia="zh-CN"/>
              </w:rPr>
            </w:pPr>
            <w:r>
              <w:rPr>
                <w:rFonts w:hint="eastAsia" w:ascii="新宋体" w:hAnsi="新宋体" w:eastAsia="新宋体" w:cs="新宋体"/>
                <w:color w:val="000000"/>
                <w:kern w:val="0"/>
                <w:sz w:val="32"/>
                <w:szCs w:val="32"/>
              </w:rPr>
              <w:t>　</w:t>
            </w:r>
            <w:r>
              <w:rPr>
                <w:rFonts w:hint="eastAsia" w:ascii="新宋体" w:hAnsi="新宋体" w:eastAsia="新宋体" w:cs="新宋体"/>
                <w:color w:val="000000"/>
                <w:kern w:val="0"/>
                <w:sz w:val="32"/>
                <w:szCs w:val="32"/>
                <w:lang w:val="en-US" w:eastAsia="zh-CN"/>
              </w:rPr>
              <w:t>2023.4</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负责工作</w:t>
            </w:r>
          </w:p>
        </w:tc>
        <w:tc>
          <w:tcPr>
            <w:tcW w:w="2701" w:type="dxa"/>
            <w:tcBorders>
              <w:top w:val="nil"/>
              <w:left w:val="nil"/>
              <w:bottom w:val="single" w:color="auto" w:sz="4" w:space="0"/>
              <w:right w:val="single" w:color="auto" w:sz="4" w:space="0"/>
            </w:tcBorders>
            <w:shd w:val="clear" w:color="auto" w:fill="auto"/>
            <w:noWrap/>
            <w:vAlign w:val="center"/>
          </w:tcPr>
          <w:p>
            <w:pPr>
              <w:widowControl/>
              <w:numPr>
                <w:ilvl w:val="0"/>
                <w:numId w:val="1"/>
              </w:numPr>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实习教学、对外联络(产学研)工作办公室</w:t>
            </w:r>
          </w:p>
        </w:tc>
      </w:tr>
      <w:tr>
        <w:tblPrEx>
          <w:tblCellMar>
            <w:top w:w="0" w:type="dxa"/>
            <w:left w:w="108" w:type="dxa"/>
            <w:bottom w:w="0" w:type="dxa"/>
            <w:right w:w="108" w:type="dxa"/>
          </w:tblCellMar>
        </w:tblPrEx>
        <w:trPr>
          <w:trHeight w:val="624" w:hRule="atLeast"/>
        </w:trPr>
        <w:tc>
          <w:tcPr>
            <w:tcW w:w="24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2"/>
                <w:szCs w:val="32"/>
              </w:rPr>
            </w:pPr>
          </w:p>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承担工作职责</w:t>
            </w:r>
          </w:p>
          <w:p>
            <w:pPr>
              <w:widowControl/>
              <w:rPr>
                <w:rFonts w:ascii="楷体" w:hAnsi="楷体" w:eastAsia="楷体" w:cs="宋体"/>
                <w:color w:val="000000"/>
                <w:kern w:val="0"/>
                <w:sz w:val="32"/>
                <w:szCs w:val="32"/>
              </w:rPr>
            </w:pPr>
          </w:p>
        </w:tc>
        <w:tc>
          <w:tcPr>
            <w:tcW w:w="6250"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numPr>
                <w:ilvl w:val="0"/>
                <w:numId w:val="1"/>
              </w:numPr>
              <w:jc w:val="left"/>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系教学副主任工作职责：</w:t>
            </w:r>
            <w:r>
              <w:rPr>
                <w:rFonts w:hint="default" w:ascii="Times New Roman" w:hAnsi="Times New Roman" w:eastAsia="宋体" w:cs="Times New Roman"/>
                <w:sz w:val="21"/>
                <w:szCs w:val="21"/>
              </w:rPr>
              <w:t>协助主任做好教学任务安排，负责实习实训基地建设、 本科实习实训课程的组织和安排工作。 负责教育教学集体活动、教学研讨活动的组织安排、存 档、记录。认真完成学院和系分配的其它工作</w:t>
            </w:r>
            <w:r>
              <w:rPr>
                <w:rFonts w:hint="eastAsia" w:ascii="Times New Roman" w:hAnsi="Times New Roman" w:eastAsia="宋体" w:cs="Times New Roman"/>
                <w:sz w:val="21"/>
                <w:szCs w:val="21"/>
              </w:rPr>
              <w:t>　</w:t>
            </w:r>
          </w:p>
          <w:p>
            <w:pPr>
              <w:widowControl/>
              <w:numPr>
                <w:ilvl w:val="0"/>
                <w:numId w:val="1"/>
              </w:numPr>
              <w:ind w:left="0" w:leftChars="0" w:firstLine="0" w:firstLineChars="0"/>
              <w:jc w:val="left"/>
              <w:rPr>
                <w:rFonts w:hint="eastAsia" w:ascii="Times New Roman" w:hAnsi="Times New Roman" w:eastAsia="宋体" w:cs="Times New Roman"/>
                <w:sz w:val="21"/>
                <w:szCs w:val="21"/>
              </w:rPr>
            </w:pPr>
            <w:r>
              <w:rPr>
                <w:rFonts w:ascii="宋体" w:hAnsi="宋体" w:eastAsia="宋体" w:cs="宋体"/>
                <w:sz w:val="21"/>
                <w:szCs w:val="21"/>
              </w:rPr>
              <w:t>对外联络工作</w:t>
            </w:r>
            <w:r>
              <w:rPr>
                <w:rFonts w:hint="eastAsia" w:ascii="宋体" w:hAnsi="宋体" w:eastAsia="宋体" w:cs="宋体"/>
                <w:sz w:val="21"/>
                <w:szCs w:val="21"/>
                <w:lang w:val="en-US" w:eastAsia="zh-CN"/>
              </w:rPr>
              <w:t>办公室副主任工作职责：产学研交流、对外联络、推动校企教学科研合作工作</w:t>
            </w:r>
          </w:p>
        </w:tc>
      </w:tr>
      <w:tr>
        <w:tblPrEx>
          <w:tblCellMar>
            <w:top w:w="0" w:type="dxa"/>
            <w:left w:w="108" w:type="dxa"/>
            <w:bottom w:w="0" w:type="dxa"/>
            <w:right w:w="108" w:type="dxa"/>
          </w:tblCellMar>
        </w:tblPrEx>
        <w:trPr>
          <w:trHeight w:val="312" w:hRule="atLeast"/>
        </w:trPr>
        <w:tc>
          <w:tcPr>
            <w:tcW w:w="240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c>
          <w:tcPr>
            <w:tcW w:w="625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240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c>
          <w:tcPr>
            <w:tcW w:w="625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609" w:hRule="atLeast"/>
        </w:trPr>
        <w:tc>
          <w:tcPr>
            <w:tcW w:w="2400"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c>
          <w:tcPr>
            <w:tcW w:w="625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450" w:hRule="atLeast"/>
        </w:trPr>
        <w:tc>
          <w:tcPr>
            <w:tcW w:w="8650"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楷体" w:hAnsi="楷体" w:eastAsia="楷体" w:cs="宋体"/>
                <w:color w:val="000000"/>
                <w:kern w:val="0"/>
                <w:sz w:val="36"/>
                <w:szCs w:val="36"/>
              </w:rPr>
            </w:pPr>
            <w:r>
              <w:rPr>
                <w:rFonts w:hint="eastAsia" w:ascii="楷体" w:hAnsi="楷体" w:eastAsia="楷体" w:cs="宋体"/>
                <w:color w:val="000000"/>
                <w:kern w:val="0"/>
                <w:sz w:val="32"/>
                <w:szCs w:val="32"/>
              </w:rPr>
              <w:t>工作总结</w:t>
            </w:r>
            <w:r>
              <w:rPr>
                <w:rFonts w:hint="eastAsia" w:ascii="楷体" w:hAnsi="楷体" w:eastAsia="楷体" w:cs="宋体"/>
                <w:color w:val="000000"/>
                <w:kern w:val="0"/>
                <w:sz w:val="24"/>
                <w:szCs w:val="24"/>
              </w:rPr>
              <w:t xml:space="preserve">（要求写具体事情 </w:t>
            </w:r>
            <w:r>
              <w:rPr>
                <w:rFonts w:ascii="楷体" w:hAnsi="楷体" w:eastAsia="楷体" w:cs="宋体"/>
                <w:color w:val="000000"/>
                <w:kern w:val="0"/>
                <w:sz w:val="24"/>
                <w:szCs w:val="24"/>
              </w:rPr>
              <w:t xml:space="preserve"> </w:t>
            </w:r>
            <w:r>
              <w:rPr>
                <w:rFonts w:hint="eastAsia" w:ascii="楷体" w:hAnsi="楷体" w:eastAsia="楷体" w:cs="宋体"/>
                <w:color w:val="000000"/>
                <w:kern w:val="0"/>
                <w:sz w:val="24"/>
                <w:szCs w:val="24"/>
              </w:rPr>
              <w:t>原则不超过</w:t>
            </w:r>
            <w:r>
              <w:rPr>
                <w:rFonts w:ascii="楷体" w:hAnsi="楷体" w:eastAsia="楷体" w:cs="宋体"/>
                <w:color w:val="000000"/>
                <w:kern w:val="0"/>
                <w:sz w:val="24"/>
                <w:szCs w:val="24"/>
              </w:rPr>
              <w:t>1000字</w:t>
            </w:r>
            <w:r>
              <w:rPr>
                <w:rFonts w:hint="eastAsia" w:ascii="楷体" w:hAnsi="楷体" w:eastAsia="楷体" w:cs="宋体"/>
                <w:color w:val="000000"/>
                <w:kern w:val="0"/>
                <w:sz w:val="24"/>
                <w:szCs w:val="24"/>
              </w:rPr>
              <w:t>）</w:t>
            </w:r>
          </w:p>
        </w:tc>
      </w:tr>
      <w:tr>
        <w:tblPrEx>
          <w:tblCellMar>
            <w:top w:w="0" w:type="dxa"/>
            <w:left w:w="108" w:type="dxa"/>
            <w:bottom w:w="0" w:type="dxa"/>
            <w:right w:w="108" w:type="dxa"/>
          </w:tblCellMar>
        </w:tblPrEx>
        <w:trPr>
          <w:trHeight w:val="624" w:hRule="atLeast"/>
        </w:trPr>
        <w:tc>
          <w:tcPr>
            <w:tcW w:w="8650"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numPr>
                <w:ilvl w:val="0"/>
                <w:numId w:val="2"/>
              </w:numPr>
              <w:spacing w:line="240" w:lineRule="auto"/>
              <w:rPr>
                <w:rFonts w:hint="default" w:ascii="Times New Roman" w:hAnsi="Times New Roman" w:eastAsia="宋体" w:cs="Times New Roman"/>
                <w:b/>
                <w:bCs/>
                <w:sz w:val="24"/>
                <w:szCs w:val="24"/>
              </w:rPr>
            </w:pPr>
            <w:bookmarkStart w:id="0" w:name="OLE_LINK5"/>
            <w:bookmarkStart w:id="1" w:name="OLE_LINK4"/>
            <w:r>
              <w:rPr>
                <w:rFonts w:hint="eastAsia" w:ascii="Times New Roman" w:hAnsi="Times New Roman" w:eastAsia="宋体" w:cs="Times New Roman"/>
                <w:b/>
                <w:bCs/>
                <w:sz w:val="24"/>
                <w:szCs w:val="24"/>
                <w:lang w:val="en-US" w:eastAsia="zh-CN"/>
              </w:rPr>
              <w:t>参加</w:t>
            </w:r>
            <w:r>
              <w:rPr>
                <w:rFonts w:hint="default" w:ascii="Times New Roman" w:hAnsi="Times New Roman" w:eastAsia="宋体" w:cs="Times New Roman"/>
                <w:b/>
                <w:bCs/>
                <w:sz w:val="24"/>
                <w:szCs w:val="24"/>
              </w:rPr>
              <w:t>学习贯彻习近平新时代中国特色社会主义思想主题教育</w:t>
            </w:r>
            <w:r>
              <w:rPr>
                <w:rFonts w:hint="eastAsia" w:ascii="Times New Roman" w:hAnsi="Times New Roman" w:eastAsia="宋体" w:cs="Times New Roman"/>
                <w:b/>
                <w:bCs/>
                <w:sz w:val="24"/>
                <w:szCs w:val="24"/>
                <w:lang w:val="en-US" w:eastAsia="zh-CN"/>
              </w:rPr>
              <w:t>集体活动</w:t>
            </w:r>
            <w:r>
              <w:rPr>
                <w:rFonts w:hint="eastAsia" w:ascii="Times New Roman" w:hAnsi="Times New Roman" w:eastAsia="宋体" w:cs="Times New Roman"/>
                <w:b/>
                <w:bCs/>
                <w:sz w:val="24"/>
                <w:szCs w:val="24"/>
                <w:lang w:eastAsia="zh-CN"/>
              </w:rPr>
              <w:t>，</w:t>
            </w:r>
            <w:r>
              <w:rPr>
                <w:rFonts w:hint="default" w:ascii="Times New Roman" w:hAnsi="Times New Roman" w:eastAsia="宋体" w:cs="Times New Roman"/>
                <w:b/>
                <w:bCs/>
                <w:sz w:val="24"/>
                <w:szCs w:val="24"/>
              </w:rPr>
              <w:t> 凝心铸魂固根本</w:t>
            </w:r>
          </w:p>
          <w:p>
            <w:pPr>
              <w:spacing w:line="240" w:lineRule="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 2023年5月，参加学院召开集体学习习近平在学习贯彻习近平新时代中国特色社会主义思想主题教育工作会议上的讲话暨主题教育动员大会</w:t>
            </w:r>
          </w:p>
          <w:p>
            <w:pPr>
              <w:spacing w:line="240" w:lineRule="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[2] 2023年6月, </w:t>
            </w:r>
            <w:r>
              <w:rPr>
                <w:rFonts w:hint="eastAsia" w:ascii="Times New Roman" w:hAnsi="Times New Roman" w:eastAsia="宋体" w:cs="Times New Roman"/>
                <w:sz w:val="21"/>
                <w:szCs w:val="21"/>
                <w:lang w:val="en-US" w:eastAsia="zh-CN"/>
              </w:rPr>
              <w:fldChar w:fldCharType="begin"/>
            </w:r>
            <w:r>
              <w:rPr>
                <w:rFonts w:hint="eastAsia" w:ascii="Times New Roman" w:hAnsi="Times New Roman" w:eastAsia="宋体" w:cs="Times New Roman"/>
                <w:sz w:val="21"/>
                <w:szCs w:val="21"/>
                <w:lang w:val="en-US" w:eastAsia="zh-CN"/>
              </w:rPr>
              <w:instrText xml:space="preserve"> HYPERLINK "https://smsp.cumt.edu.cn/e0/06/c18888a647174/page.htm" \o "我院主题教育读书班一行赴神火集团、神火股份公司研学交流" \t "https://smsp.cumt.edu.cn/18888/_blank" </w:instrText>
            </w:r>
            <w:r>
              <w:rPr>
                <w:rFonts w:hint="eastAsia" w:ascii="Times New Roman" w:hAnsi="Times New Roman" w:eastAsia="宋体" w:cs="Times New Roman"/>
                <w:sz w:val="21"/>
                <w:szCs w:val="21"/>
                <w:lang w:val="en-US" w:eastAsia="zh-CN"/>
              </w:rPr>
              <w:fldChar w:fldCharType="separate"/>
            </w:r>
            <w:r>
              <w:rPr>
                <w:rFonts w:hint="eastAsia" w:ascii="Times New Roman" w:hAnsi="Times New Roman" w:eastAsia="宋体" w:cs="Times New Roman"/>
                <w:sz w:val="21"/>
                <w:szCs w:val="21"/>
                <w:lang w:val="en-US" w:eastAsia="zh-CN"/>
              </w:rPr>
              <w:t>参加学院</w:t>
            </w:r>
            <w:r>
              <w:rPr>
                <w:rFonts w:hint="default" w:ascii="Times New Roman" w:hAnsi="Times New Roman" w:eastAsia="宋体" w:cs="Times New Roman"/>
                <w:sz w:val="21"/>
                <w:szCs w:val="21"/>
                <w:lang w:val="en-US" w:eastAsia="zh-CN"/>
              </w:rPr>
              <w:t>主题教育读书班一行赴神火集团、神火股份公司研学交流</w:t>
            </w:r>
            <w:r>
              <w:rPr>
                <w:rFonts w:hint="default" w:ascii="Times New Roman" w:hAnsi="Times New Roman" w:eastAsia="宋体" w:cs="Times New Roman"/>
                <w:sz w:val="21"/>
                <w:szCs w:val="21"/>
                <w:lang w:val="en-US" w:eastAsia="zh-CN"/>
              </w:rPr>
              <w:fldChar w:fldCharType="end"/>
            </w:r>
          </w:p>
          <w:p>
            <w:pPr>
              <w:spacing w:line="240" w:lineRule="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 2023年7月， 参加学院</w:t>
            </w:r>
            <w:r>
              <w:rPr>
                <w:rFonts w:hint="default" w:ascii="Times New Roman" w:hAnsi="Times New Roman" w:eastAsia="宋体" w:cs="Times New Roman"/>
                <w:sz w:val="21"/>
                <w:szCs w:val="21"/>
                <w:lang w:val="en-US" w:eastAsia="zh-CN"/>
              </w:rPr>
              <w:fldChar w:fldCharType="begin"/>
            </w:r>
            <w:r>
              <w:rPr>
                <w:rFonts w:hint="default" w:ascii="Times New Roman" w:hAnsi="Times New Roman" w:eastAsia="宋体" w:cs="Times New Roman"/>
                <w:sz w:val="21"/>
                <w:szCs w:val="21"/>
                <w:lang w:val="en-US" w:eastAsia="zh-CN"/>
              </w:rPr>
              <w:instrText xml:space="preserve"> HYPERLINK "https://smsp.cumt.edu.cn/ee/14/c18888a650772/page.htm" \o "我院组织教师参加\“弘扬红旗渠精神 践行发展新使命\”主题教育培训班" \t "https://smsp.cumt.edu.cn/18888/_blank" </w:instrText>
            </w:r>
            <w:r>
              <w:rPr>
                <w:rFonts w:hint="default" w:ascii="Times New Roman" w:hAnsi="Times New Roman" w:eastAsia="宋体" w:cs="Times New Roman"/>
                <w:sz w:val="21"/>
                <w:szCs w:val="21"/>
                <w:lang w:val="en-US" w:eastAsia="zh-CN"/>
              </w:rPr>
              <w:fldChar w:fldCharType="separate"/>
            </w:r>
            <w:r>
              <w:rPr>
                <w:rFonts w:hint="default" w:ascii="Times New Roman" w:hAnsi="Times New Roman" w:eastAsia="宋体" w:cs="Times New Roman"/>
                <w:sz w:val="21"/>
                <w:szCs w:val="21"/>
                <w:lang w:val="en-US" w:eastAsia="zh-CN"/>
              </w:rPr>
              <w:t>组织教师参加“弘扬红旗渠精神 践行发展新使命”主题教育培训班</w:t>
            </w:r>
            <w:r>
              <w:rPr>
                <w:rFonts w:hint="default" w:ascii="Times New Roman" w:hAnsi="Times New Roman" w:eastAsia="宋体" w:cs="Times New Roman"/>
                <w:sz w:val="21"/>
                <w:szCs w:val="21"/>
                <w:lang w:val="en-US" w:eastAsia="zh-CN"/>
              </w:rPr>
              <w:fldChar w:fldCharType="end"/>
            </w:r>
          </w:p>
          <w:p>
            <w:pPr>
              <w:spacing w:line="360" w:lineRule="auto"/>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二、精心组织实习实训教学工作，积极开拓实践基地</w:t>
            </w:r>
          </w:p>
          <w:p>
            <w:pPr>
              <w:spacing w:line="240" w:lineRule="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 2023年4月-5月，组织2019级60名毕业生赴邳州、曲阜、苏州和南通半导体和光电企业开展毕业实习。</w:t>
            </w:r>
          </w:p>
          <w:p>
            <w:pPr>
              <w:spacing w:line="240" w:lineRule="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 2023年5月和7月，组织2021级50名光电专业本科生到友达光电苏州有限公司，苏州盛科通讯有限公司，北京大学长三角光电研究院，山东科学院激光研究所和晶导微电子有限公司等开展认识实习。</w:t>
            </w:r>
          </w:p>
          <w:p>
            <w:pPr>
              <w:spacing w:line="240" w:lineRule="auto"/>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 xml:space="preserve">[3] </w:t>
            </w:r>
            <w:r>
              <w:rPr>
                <w:rFonts w:hint="eastAsia" w:ascii="Times New Roman" w:hAnsi="Times New Roman" w:eastAsia="宋体" w:cs="Times New Roman"/>
                <w:sz w:val="21"/>
                <w:szCs w:val="21"/>
              </w:rPr>
              <w:t>2023年6月，</w:t>
            </w:r>
            <w:r>
              <w:rPr>
                <w:rFonts w:hint="eastAsia" w:ascii="Times New Roman" w:hAnsi="Times New Roman" w:eastAsia="宋体" w:cs="Times New Roman"/>
                <w:b w:val="0"/>
                <w:bCs w:val="0"/>
                <w:sz w:val="21"/>
                <w:szCs w:val="21"/>
              </w:rPr>
              <w:t xml:space="preserve"> 江苏产业技术研究院和昇印光电股份有限公司来我院交流，我院同昇印光电股份有限公司签</w:t>
            </w:r>
            <w:r>
              <w:rPr>
                <w:rFonts w:hint="eastAsia" w:ascii="Times New Roman" w:hAnsi="Times New Roman" w:eastAsia="宋体" w:cs="Times New Roman"/>
                <w:b w:val="0"/>
                <w:bCs w:val="0"/>
                <w:sz w:val="21"/>
                <w:szCs w:val="21"/>
                <w:lang w:val="en-US" w:eastAsia="zh-CN"/>
              </w:rPr>
              <w:t>订</w:t>
            </w:r>
            <w:r>
              <w:rPr>
                <w:rFonts w:hint="eastAsia" w:ascii="Times New Roman" w:hAnsi="Times New Roman" w:eastAsia="宋体" w:cs="Times New Roman"/>
                <w:b w:val="0"/>
                <w:bCs w:val="0"/>
                <w:sz w:val="21"/>
                <w:szCs w:val="21"/>
              </w:rPr>
              <w:t>光电信息科学与工程专业校外实习基地协议并授牌。</w:t>
            </w:r>
          </w:p>
          <w:p>
            <w:pPr>
              <w:spacing w:line="360" w:lineRule="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三、组织专业教学研讨和教学改革</w:t>
            </w:r>
          </w:p>
          <w:p>
            <w:pPr>
              <w:spacing w:line="240" w:lineRule="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 协助系主任召开教学研讨会：如迎接教育部本科专业教学评估、2024版培养方案调研研讨会、课程思政建设等</w:t>
            </w:r>
          </w:p>
          <w:p>
            <w:pPr>
              <w:spacing w:line="240" w:lineRule="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 参与筹建光电信息工程专硕学位点，参与完善光电信息工程专硕培养方案。完成光电信息工程专硕首届研究生的招生复试工作。</w:t>
            </w:r>
          </w:p>
          <w:p>
            <w:pPr>
              <w:spacing w:line="240" w:lineRule="auto"/>
              <w:rPr>
                <w:rFonts w:hint="default" w:ascii="Times New Roman" w:hAnsi="Times New Roman" w:eastAsia="宋体" w:cs="Times New Roman"/>
                <w:b w:val="0"/>
                <w:bCs w:val="0"/>
                <w:sz w:val="21"/>
                <w:szCs w:val="21"/>
                <w:lang w:val="en-US" w:eastAsia="zh-CN"/>
              </w:rPr>
            </w:pPr>
            <w:bookmarkStart w:id="6" w:name="_GoBack"/>
            <w:r>
              <w:rPr>
                <w:rFonts w:hint="default" w:ascii="Times New Roman" w:hAnsi="Times New Roman" w:eastAsia="宋体" w:cs="Times New Roman"/>
                <w:b w:val="0"/>
                <w:bCs w:val="0"/>
                <w:sz w:val="21"/>
                <w:szCs w:val="21"/>
                <w:lang w:val="en-US" w:eastAsia="zh-CN"/>
              </w:rPr>
              <w:t xml:space="preserve">[3] 主持获批1项集萃研究生教改项目（基于产教融合的光电信息工程专业学位研究生实践教学模式研究） </w:t>
            </w:r>
          </w:p>
          <w:p>
            <w:pPr>
              <w:spacing w:line="240" w:lineRule="auto"/>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 xml:space="preserve">[4] </w:t>
            </w:r>
            <w:r>
              <w:rPr>
                <w:rFonts w:hint="eastAsia" w:ascii="Times New Roman" w:hAnsi="Times New Roman" w:eastAsia="宋体" w:cs="Times New Roman"/>
                <w:b w:val="0"/>
                <w:bCs w:val="0"/>
                <w:color w:val="auto"/>
                <w:sz w:val="21"/>
                <w:szCs w:val="21"/>
                <w:lang w:val="en-US" w:eastAsia="zh-CN"/>
              </w:rPr>
              <w:t>主要</w:t>
            </w:r>
            <w:r>
              <w:rPr>
                <w:rFonts w:hint="default" w:ascii="Times New Roman" w:hAnsi="Times New Roman" w:eastAsia="宋体" w:cs="Times New Roman"/>
                <w:b w:val="0"/>
                <w:bCs w:val="0"/>
                <w:color w:val="auto"/>
                <w:sz w:val="21"/>
                <w:szCs w:val="21"/>
                <w:lang w:val="en-US" w:eastAsia="zh-CN"/>
              </w:rPr>
              <w:t>撰写</w:t>
            </w:r>
            <w:r>
              <w:rPr>
                <w:rFonts w:hint="eastAsia" w:ascii="Times New Roman" w:hAnsi="Times New Roman" w:eastAsia="宋体" w:cs="Times New Roman"/>
                <w:b w:val="0"/>
                <w:bCs w:val="0"/>
                <w:color w:val="auto"/>
                <w:sz w:val="21"/>
                <w:szCs w:val="21"/>
                <w:lang w:val="en-US" w:eastAsia="zh-CN"/>
              </w:rPr>
              <w:t>校级</w:t>
            </w:r>
            <w:r>
              <w:rPr>
                <w:rFonts w:hint="default" w:ascii="Times New Roman" w:hAnsi="Times New Roman" w:eastAsia="宋体" w:cs="Times New Roman"/>
                <w:b w:val="0"/>
                <w:bCs w:val="0"/>
                <w:color w:val="auto"/>
                <w:sz w:val="21"/>
                <w:szCs w:val="21"/>
                <w:lang w:val="en-US" w:eastAsia="zh-CN"/>
              </w:rPr>
              <w:t>课程思政示范专业申报</w:t>
            </w:r>
            <w:r>
              <w:rPr>
                <w:rFonts w:hint="eastAsia" w:ascii="Times New Roman" w:hAnsi="Times New Roman" w:eastAsia="宋体" w:cs="Times New Roman"/>
                <w:b w:val="0"/>
                <w:bCs w:val="0"/>
                <w:color w:val="auto"/>
                <w:sz w:val="21"/>
                <w:szCs w:val="21"/>
                <w:lang w:val="en-US" w:eastAsia="zh-CN"/>
              </w:rPr>
              <w:t>书，</w:t>
            </w:r>
            <w:bookmarkEnd w:id="6"/>
            <w:r>
              <w:rPr>
                <w:rFonts w:hint="eastAsia" w:ascii="Times New Roman" w:hAnsi="Times New Roman" w:eastAsia="宋体"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lang w:val="en-US" w:eastAsia="zh-CN"/>
              </w:rPr>
              <w:t xml:space="preserve">获批2023年中国矿业大学教学研究项目（动力中国 </w:t>
            </w:r>
            <w:bookmarkStart w:id="2" w:name="OLE_LINK6"/>
            <w:r>
              <w:rPr>
                <w:rFonts w:hint="default" w:ascii="Times New Roman" w:hAnsi="Times New Roman" w:eastAsia="宋体" w:cs="Times New Roman"/>
                <w:b w:val="0"/>
                <w:bCs w:val="0"/>
                <w:color w:val="auto"/>
                <w:sz w:val="21"/>
                <w:szCs w:val="21"/>
                <w:lang w:val="en-US" w:eastAsia="zh-CN"/>
              </w:rPr>
              <w:t>课程思政示范专业</w:t>
            </w:r>
            <w:bookmarkEnd w:id="2"/>
            <w:r>
              <w:rPr>
                <w:rFonts w:hint="eastAsia" w:ascii="Times New Roman" w:hAnsi="Times New Roman" w:eastAsia="宋体" w:cs="Times New Roman"/>
                <w:b w:val="0"/>
                <w:bCs w:val="0"/>
                <w:color w:val="auto"/>
                <w:sz w:val="21"/>
                <w:szCs w:val="21"/>
                <w:lang w:val="en-US" w:eastAsia="zh-CN"/>
              </w:rPr>
              <w:t>：</w:t>
            </w:r>
            <w:r>
              <w:rPr>
                <w:rFonts w:hint="default" w:ascii="Times New Roman" w:hAnsi="Times New Roman" w:eastAsia="宋体" w:cs="Times New Roman"/>
                <w:b w:val="0"/>
                <w:bCs w:val="0"/>
                <w:color w:val="auto"/>
                <w:sz w:val="21"/>
                <w:szCs w:val="21"/>
                <w:lang w:val="en-US" w:eastAsia="zh-CN"/>
              </w:rPr>
              <w:t>光电信息科学与工程专业）</w:t>
            </w:r>
          </w:p>
          <w:p>
            <w:pPr>
              <w:spacing w:line="240" w:lineRule="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[5] 利用暑期实习，组织光电系赴山东科学院激光研究所、聚灿光电交流调研企业人才需求现状，调研2024版专业培养方案修订。</w:t>
            </w:r>
          </w:p>
          <w:p>
            <w:pPr>
              <w:spacing w:line="240" w:lineRule="auto"/>
              <w:rPr>
                <w:rFonts w:hint="eastAsia" w:ascii="fzxbs" w:hAnsi="fzxbs" w:eastAsia="宋体" w:cs="fzxbs"/>
                <w:b w:val="0"/>
                <w:bCs w:val="0"/>
                <w:i w:val="0"/>
                <w:iCs w:val="0"/>
                <w:caps w:val="0"/>
                <w:color w:val="171716"/>
                <w:spacing w:val="0"/>
                <w:sz w:val="43"/>
                <w:szCs w:val="43"/>
                <w:lang w:eastAsia="zh-CN"/>
              </w:rPr>
            </w:pP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sz w:val="21"/>
                <w:szCs w:val="21"/>
                <w:lang w:val="en-US" w:eastAsia="zh-CN"/>
              </w:rPr>
              <w:t xml:space="preserve">6] </w:t>
            </w:r>
            <w:bookmarkStart w:id="3" w:name="OLE_LINK3"/>
            <w:r>
              <w:rPr>
                <w:rFonts w:hint="eastAsia" w:ascii="Times New Roman" w:hAnsi="Times New Roman" w:eastAsia="宋体" w:cs="Times New Roman"/>
                <w:sz w:val="21"/>
                <w:szCs w:val="21"/>
                <w:lang w:val="en-US" w:eastAsia="zh-CN"/>
              </w:rPr>
              <w:t>本人和韩奎老师一起受邀参加</w:t>
            </w:r>
            <w:bookmarkEnd w:id="3"/>
            <w:r>
              <w:rPr>
                <w:rFonts w:hint="eastAsia" w:ascii="Times New Roman" w:hAnsi="Times New Roman" w:eastAsia="宋体" w:cs="Times New Roman"/>
                <w:sz w:val="21"/>
                <w:szCs w:val="21"/>
                <w:lang w:val="en-US" w:eastAsia="zh-CN"/>
              </w:rPr>
              <w:t>在重庆大学举办的2023年</w:t>
            </w:r>
            <w:r>
              <w:rPr>
                <w:rFonts w:hint="default" w:ascii="Times New Roman" w:hAnsi="Times New Roman" w:eastAsia="宋体" w:cs="Times New Roman"/>
                <w:sz w:val="21"/>
                <w:szCs w:val="21"/>
                <w:lang w:val="en-US" w:eastAsia="zh-CN"/>
              </w:rPr>
              <w:t>电动力学精品教材与课程建设研讨会</w:t>
            </w:r>
            <w:r>
              <w:rPr>
                <w:rFonts w:hint="eastAsia" w:ascii="Times New Roman" w:hAnsi="Times New Roman" w:eastAsia="宋体" w:cs="Times New Roman"/>
                <w:sz w:val="21"/>
                <w:szCs w:val="21"/>
                <w:lang w:val="en-US" w:eastAsia="zh-CN"/>
              </w:rPr>
              <w:t>，与国内电动力学教学专家同行交流和学习电动力学精品教材和课程建设经验。</w:t>
            </w:r>
          </w:p>
          <w:p>
            <w:pPr>
              <w:spacing w:line="360" w:lineRule="auto"/>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四、积极开展对外联系工作，助力物理学科建设和光电专业建设</w:t>
            </w:r>
            <w:bookmarkEnd w:id="0"/>
            <w:bookmarkEnd w:id="1"/>
          </w:p>
          <w:p>
            <w:pPr>
              <w:spacing w:line="240" w:lineRule="auto"/>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 2023年6月，</w:t>
            </w:r>
            <w:r>
              <w:rPr>
                <w:rFonts w:hint="eastAsia" w:ascii="Times New Roman" w:hAnsi="Times New Roman" w:eastAsia="宋体" w:cs="Times New Roman"/>
                <w:sz w:val="21"/>
                <w:szCs w:val="21"/>
              </w:rPr>
              <w:t>江苏产业技术研究院和昇印光电股份有限公司来我院交流，我院同昇印光电股份有限</w:t>
            </w:r>
            <w:r>
              <w:rPr>
                <w:rFonts w:hint="eastAsia" w:ascii="Times New Roman" w:hAnsi="Times New Roman" w:eastAsia="宋体" w:cs="Times New Roman"/>
                <w:b w:val="0"/>
                <w:bCs w:val="0"/>
                <w:sz w:val="21"/>
                <w:szCs w:val="21"/>
              </w:rPr>
              <w:t>公司签</w:t>
            </w:r>
            <w:r>
              <w:rPr>
                <w:rFonts w:hint="eastAsia" w:ascii="Times New Roman" w:hAnsi="Times New Roman" w:eastAsia="宋体" w:cs="Times New Roman"/>
                <w:b w:val="0"/>
                <w:bCs w:val="0"/>
                <w:sz w:val="21"/>
                <w:szCs w:val="21"/>
                <w:lang w:val="en-US" w:eastAsia="zh-CN"/>
              </w:rPr>
              <w:t>订</w:t>
            </w:r>
            <w:r>
              <w:rPr>
                <w:rFonts w:hint="eastAsia" w:ascii="Times New Roman" w:hAnsi="Times New Roman" w:eastAsia="宋体" w:cs="Times New Roman"/>
                <w:b w:val="0"/>
                <w:bCs w:val="0"/>
                <w:sz w:val="21"/>
                <w:szCs w:val="21"/>
              </w:rPr>
              <w:t>光电信息科学与工程专业校外实习基地协议并授牌。</w:t>
            </w:r>
          </w:p>
          <w:p>
            <w:pPr>
              <w:spacing w:line="240" w:lineRule="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[2] 2023.8.18-20参加在宁夏大学召开的2023年中国物理学会秋季会议，并作分会报告。期间，参与组织了我院主办的行业特色高校物理学一流学科建设研讨会。承担了部分杰青专家的联系和接待工作。  </w:t>
            </w:r>
          </w:p>
          <w:p>
            <w:pPr>
              <w:spacing w:line="240" w:lineRule="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 2023年9月，参加学院组织的</w:t>
            </w:r>
            <w:bookmarkStart w:id="4" w:name="OLE_LINK1"/>
            <w:r>
              <w:rPr>
                <w:rFonts w:hint="eastAsia" w:ascii="Times New Roman" w:hAnsi="Times New Roman" w:eastAsia="宋体" w:cs="Times New Roman"/>
                <w:sz w:val="21"/>
                <w:szCs w:val="21"/>
                <w:lang w:val="en-US" w:eastAsia="zh-CN"/>
              </w:rPr>
              <w:t>赴中国石油大学（华东）、青岛大学调研</w:t>
            </w:r>
            <w:bookmarkEnd w:id="4"/>
            <w:r>
              <w:rPr>
                <w:rFonts w:hint="eastAsia" w:ascii="Times New Roman" w:hAnsi="Times New Roman" w:eastAsia="宋体" w:cs="Times New Roman"/>
                <w:sz w:val="21"/>
                <w:szCs w:val="21"/>
                <w:lang w:val="en-US" w:eastAsia="zh-CN"/>
              </w:rPr>
              <w:t>专业建设经验交流</w:t>
            </w:r>
          </w:p>
          <w:p>
            <w:pPr>
              <w:spacing w:line="240" w:lineRule="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 2023年9月，受</w:t>
            </w:r>
            <w:bookmarkStart w:id="5" w:name="OLE_LINK2"/>
            <w:r>
              <w:rPr>
                <w:rFonts w:hint="eastAsia" w:ascii="Times New Roman" w:hAnsi="Times New Roman" w:eastAsia="宋体" w:cs="Times New Roman"/>
                <w:sz w:val="21"/>
                <w:szCs w:val="21"/>
                <w:lang w:val="en-US" w:eastAsia="zh-CN"/>
              </w:rPr>
              <w:t>中共</w:t>
            </w:r>
            <w:r>
              <w:rPr>
                <w:rFonts w:hint="default" w:ascii="Times New Roman" w:hAnsi="Times New Roman" w:eastAsia="宋体" w:cs="Times New Roman"/>
                <w:sz w:val="21"/>
                <w:szCs w:val="21"/>
                <w:lang w:val="en-US" w:eastAsia="zh-CN"/>
              </w:rPr>
              <w:t>绍兴市柯桥区委组织部(区委人才办)</w:t>
            </w:r>
            <w:r>
              <w:rPr>
                <w:rFonts w:hint="eastAsia" w:ascii="Times New Roman" w:hAnsi="Times New Roman" w:eastAsia="宋体" w:cs="Times New Roman"/>
                <w:sz w:val="21"/>
                <w:szCs w:val="21"/>
                <w:lang w:val="en-US" w:eastAsia="zh-CN"/>
              </w:rPr>
              <w:t>邀请参加绍兴</w:t>
            </w:r>
            <w:r>
              <w:rPr>
                <w:rFonts w:hint="default" w:ascii="Times New Roman" w:hAnsi="Times New Roman" w:eastAsia="宋体" w:cs="Times New Roman"/>
                <w:sz w:val="21"/>
                <w:szCs w:val="21"/>
                <w:lang w:val="en-US" w:eastAsia="zh-CN"/>
              </w:rPr>
              <w:t>第八届海内外高层次人才创新创业大赛总决赛暨2023绍兴博士后创新创业论坛</w:t>
            </w:r>
            <w:bookmarkEnd w:id="5"/>
            <w:r>
              <w:rPr>
                <w:rFonts w:hint="eastAsia" w:ascii="Times New Roman" w:hAnsi="Times New Roman" w:eastAsia="宋体" w:cs="Times New Roman"/>
                <w:sz w:val="21"/>
                <w:szCs w:val="21"/>
                <w:lang w:val="en-US" w:eastAsia="zh-CN"/>
              </w:rPr>
              <w:t>。</w:t>
            </w:r>
          </w:p>
          <w:p>
            <w:pPr>
              <w:spacing w:line="240" w:lineRule="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 2023年10月，受邀参加</w:t>
            </w:r>
            <w:r>
              <w:rPr>
                <w:rFonts w:hint="default" w:ascii="Times New Roman" w:hAnsi="Times New Roman" w:eastAsia="宋体" w:cs="Times New Roman"/>
                <w:sz w:val="21"/>
                <w:szCs w:val="21"/>
                <w:lang w:val="en-US" w:eastAsia="zh-CN"/>
              </w:rPr>
              <w:t>中国宿迁第五届激光装备产业发展</w:t>
            </w:r>
            <w:r>
              <w:rPr>
                <w:rFonts w:hint="eastAsia" w:ascii="Times New Roman" w:hAnsi="Times New Roman" w:eastAsia="宋体" w:cs="Times New Roman"/>
                <w:sz w:val="21"/>
                <w:szCs w:val="21"/>
                <w:lang w:val="en-US" w:eastAsia="zh-CN"/>
              </w:rPr>
              <w:t>大会。</w:t>
            </w:r>
          </w:p>
          <w:p>
            <w:pPr>
              <w:spacing w:line="240" w:lineRule="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 2023年10月，唐军副院长带领系专业领导和负责人一行访问深圳</w:t>
            </w:r>
            <w:r>
              <w:rPr>
                <w:rFonts w:hint="default" w:ascii="Times New Roman" w:hAnsi="Times New Roman" w:eastAsia="宋体" w:cs="Times New Roman"/>
                <w:sz w:val="21"/>
                <w:szCs w:val="21"/>
                <w:lang w:val="en-US" w:eastAsia="zh-CN"/>
              </w:rPr>
              <w:t>TCL华星光电技术有限公司</w:t>
            </w:r>
            <w:r>
              <w:rPr>
                <w:rFonts w:hint="eastAsia" w:ascii="Times New Roman" w:hAnsi="Times New Roman" w:eastAsia="宋体" w:cs="Times New Roman"/>
                <w:sz w:val="21"/>
                <w:szCs w:val="21"/>
                <w:lang w:val="en-US" w:eastAsia="zh-CN"/>
              </w:rPr>
              <w:t>，交流校企合作事宜</w:t>
            </w:r>
          </w:p>
          <w:p>
            <w:pPr>
              <w:spacing w:line="240" w:lineRule="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 2023年11月，受邀参加深圳2023国际热管理材料技术博览会暨热管理大会 </w:t>
            </w:r>
          </w:p>
          <w:p>
            <w:pPr>
              <w:spacing w:line="240" w:lineRule="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1"/>
                <w:szCs w:val="21"/>
                <w:lang w:val="en-US" w:eastAsia="zh-CN"/>
              </w:rPr>
              <w:t>[8] 2023年12月 访问江苏先进光源技术研究院，讨论建立光电专硕研究生实践基地事宜。</w:t>
            </w:r>
            <w:r>
              <w:rPr>
                <w:rFonts w:hint="eastAsia" w:ascii="Times New Roman" w:hAnsi="Times New Roman" w:eastAsia="宋体" w:cs="Times New Roman"/>
                <w:sz w:val="24"/>
                <w:szCs w:val="24"/>
                <w:lang w:val="en-US" w:eastAsia="zh-CN"/>
              </w:rPr>
              <w:t xml:space="preserve">  </w:t>
            </w:r>
          </w:p>
          <w:p>
            <w:pPr>
              <w:spacing w:line="360" w:lineRule="auto"/>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五、工作成效总结</w:t>
            </w:r>
          </w:p>
          <w:p>
            <w:pPr>
              <w:spacing w:line="240" w:lineRule="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 2023年软科中国大学专业排名，中国矿业大学光电信息科学与工程专业排名40/133, 位于B+层次</w:t>
            </w:r>
          </w:p>
          <w:p>
            <w:pPr>
              <w:numPr>
                <w:ilvl w:val="0"/>
                <w:numId w:val="0"/>
              </w:numPr>
              <w:spacing w:line="240" w:lineRule="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 新增院级校外实习基地1个，获批光电信息工程专业集萃研究生教改项目1项，光电信息科学与工程专业校级课程思政专业教改项目1项，有力支持了光电专业建设。 有力推进光电信息科学与工程专业实习实训教学工作的规范化和有序化，不断提高实践教学质量</w:t>
            </w:r>
          </w:p>
          <w:p>
            <w:pPr>
              <w:numPr>
                <w:ilvl w:val="0"/>
                <w:numId w:val="0"/>
              </w:numPr>
              <w:spacing w:line="240" w:lineRule="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 本人获聘江苏省物理学会凝聚态物理理论与计算物理专业委员会委员，加强同省内高校物理同行的交流与合作。</w:t>
            </w:r>
          </w:p>
          <w:p>
            <w:pPr>
              <w:numPr>
                <w:ilvl w:val="0"/>
                <w:numId w:val="0"/>
              </w:numPr>
              <w:spacing w:line="240" w:lineRule="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 本人</w:t>
            </w:r>
            <w:r>
              <w:rPr>
                <w:rFonts w:hint="eastAsia" w:ascii="Times New Roman" w:hAnsi="Times New Roman" w:eastAsia="宋体" w:cs="Times New Roman"/>
                <w:szCs w:val="21"/>
                <w:highlight w:val="none"/>
                <w:lang w:val="en-US" w:eastAsia="zh-CN"/>
              </w:rPr>
              <w:t>参加2023年“科创江苏”创新创业大赛获得（徐州赛区）优秀项目。</w:t>
            </w:r>
          </w:p>
          <w:p>
            <w:pPr>
              <w:spacing w:line="360" w:lineRule="auto"/>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六、明年工作思路</w:t>
            </w:r>
          </w:p>
          <w:p>
            <w:pPr>
              <w:numPr>
                <w:ilvl w:val="0"/>
                <w:numId w:val="3"/>
              </w:numPr>
              <w:spacing w:line="240" w:lineRule="auto"/>
              <w:ind w:left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推进同江苏先进光源技术研究院(徐红星院士团队）、北京大学长三角光电研究院(龚旗煌院士团队）、仁烁光能(</w:t>
            </w:r>
            <w:r>
              <w:rPr>
                <w:rFonts w:hint="default" w:ascii="Times New Roman" w:hAnsi="Times New Roman" w:eastAsia="宋体" w:cs="Times New Roman"/>
                <w:sz w:val="21"/>
                <w:szCs w:val="21"/>
                <w:lang w:val="en-US" w:eastAsia="zh-CN"/>
              </w:rPr>
              <w:t>苏州)有限公司</w:t>
            </w:r>
            <w:r>
              <w:rPr>
                <w:rFonts w:hint="eastAsia" w:ascii="Times New Roman" w:hAnsi="Times New Roman" w:eastAsia="宋体" w:cs="Times New Roman"/>
                <w:sz w:val="21"/>
                <w:szCs w:val="21"/>
                <w:lang w:val="en-US" w:eastAsia="zh-CN"/>
              </w:rPr>
              <w:t>（南大谭海仁杰青钙钛矿光伏团队)的对接，落实研究生专业实践基地建设</w:t>
            </w:r>
          </w:p>
          <w:p>
            <w:pPr>
              <w:numPr>
                <w:ilvl w:val="0"/>
                <w:numId w:val="3"/>
              </w:numPr>
              <w:spacing w:line="240" w:lineRule="auto"/>
              <w:ind w:leftChars="0"/>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加强同江苏省和全国物理学会同行交流， 参加江苏省物理学会春季会议和中国物理学会秋季会议</w:t>
            </w:r>
          </w:p>
          <w:p>
            <w:pPr>
              <w:numPr>
                <w:ilvl w:val="0"/>
                <w:numId w:val="3"/>
              </w:numPr>
              <w:spacing w:line="240" w:lineRule="auto"/>
              <w:ind w:leftChars="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做好2024版专业培养方案修订工作，谋划和推动校级产教融合协同育人基地建设</w:t>
            </w:r>
          </w:p>
          <w:p>
            <w:pPr>
              <w:numPr>
                <w:ilvl w:val="0"/>
                <w:numId w:val="0"/>
              </w:numPr>
              <w:spacing w:line="240" w:lineRule="auto"/>
              <w:ind w:leftChars="0"/>
              <w:rPr>
                <w:rFonts w:ascii="楷体" w:hAnsi="楷体" w:eastAsia="楷体" w:cs="宋体"/>
                <w:color w:val="000000"/>
                <w:kern w:val="0"/>
                <w:sz w:val="36"/>
                <w:szCs w:val="36"/>
              </w:rPr>
            </w:pPr>
            <w:r>
              <w:rPr>
                <w:rFonts w:ascii="楷体" w:hAnsi="楷体" w:eastAsia="楷体" w:cs="宋体"/>
                <w:color w:val="000000"/>
                <w:kern w:val="0"/>
                <w:sz w:val="36"/>
                <w:szCs w:val="36"/>
              </w:rPr>
              <w:t xml:space="preserve">             </w:t>
            </w: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312"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1556" w:hRule="atLeast"/>
        </w:trPr>
        <w:tc>
          <w:tcPr>
            <w:tcW w:w="865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36"/>
                <w:szCs w:val="36"/>
              </w:rPr>
            </w:pPr>
          </w:p>
        </w:tc>
      </w:tr>
      <w:tr>
        <w:tblPrEx>
          <w:tblCellMar>
            <w:top w:w="0" w:type="dxa"/>
            <w:left w:w="108" w:type="dxa"/>
            <w:bottom w:w="0" w:type="dxa"/>
            <w:right w:w="108" w:type="dxa"/>
          </w:tblCellMar>
        </w:tblPrEx>
        <w:trPr>
          <w:trHeight w:val="624" w:hRule="atLeast"/>
        </w:trPr>
        <w:tc>
          <w:tcPr>
            <w:tcW w:w="2400" w:type="dxa"/>
            <w:vMerge w:val="restart"/>
            <w:tcBorders>
              <w:top w:val="nil"/>
              <w:left w:val="single" w:color="auto" w:sz="4" w:space="0"/>
              <w:bottom w:val="single" w:color="000000" w:sz="4" w:space="0"/>
              <w:right w:val="nil"/>
            </w:tcBorders>
            <w:shd w:val="clear" w:color="auto" w:fill="auto"/>
            <w:noWrap/>
            <w:vAlign w:val="center"/>
          </w:tcPr>
          <w:p>
            <w:pPr>
              <w:widowControl/>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备注</w:t>
            </w:r>
          </w:p>
        </w:tc>
        <w:tc>
          <w:tcPr>
            <w:tcW w:w="6250" w:type="dxa"/>
            <w:gridSpan w:val="3"/>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楷体" w:hAnsi="楷体" w:eastAsia="楷体" w:cs="宋体"/>
                <w:color w:val="000000"/>
                <w:kern w:val="0"/>
                <w:sz w:val="36"/>
                <w:szCs w:val="36"/>
              </w:rPr>
            </w:pPr>
            <w:r>
              <w:rPr>
                <w:rFonts w:hint="eastAsia" w:ascii="楷体" w:hAnsi="楷体" w:eastAsia="楷体" w:cs="宋体"/>
                <w:color w:val="000000"/>
                <w:kern w:val="0"/>
                <w:sz w:val="36"/>
                <w:szCs w:val="36"/>
              </w:rPr>
              <w:t>　</w:t>
            </w:r>
          </w:p>
        </w:tc>
      </w:tr>
      <w:tr>
        <w:tblPrEx>
          <w:tblCellMar>
            <w:top w:w="0" w:type="dxa"/>
            <w:left w:w="108" w:type="dxa"/>
            <w:bottom w:w="0" w:type="dxa"/>
            <w:right w:w="108" w:type="dxa"/>
          </w:tblCellMar>
        </w:tblPrEx>
        <w:trPr>
          <w:trHeight w:val="312" w:hRule="atLeast"/>
        </w:trPr>
        <w:tc>
          <w:tcPr>
            <w:tcW w:w="2400" w:type="dxa"/>
            <w:vMerge w:val="continue"/>
            <w:tcBorders>
              <w:top w:val="nil"/>
              <w:left w:val="single" w:color="auto" w:sz="4" w:space="0"/>
              <w:bottom w:val="single" w:color="000000" w:sz="4" w:space="0"/>
              <w:right w:val="nil"/>
            </w:tcBorders>
            <w:vAlign w:val="center"/>
          </w:tcPr>
          <w:p>
            <w:pPr>
              <w:widowControl/>
              <w:jc w:val="left"/>
              <w:rPr>
                <w:rFonts w:ascii="楷体" w:hAnsi="楷体" w:eastAsia="楷体" w:cs="宋体"/>
                <w:color w:val="000000"/>
                <w:kern w:val="0"/>
                <w:sz w:val="36"/>
                <w:szCs w:val="36"/>
              </w:rPr>
            </w:pPr>
          </w:p>
        </w:tc>
        <w:tc>
          <w:tcPr>
            <w:tcW w:w="625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楷体" w:hAnsi="楷体" w:eastAsia="楷体" w:cs="宋体"/>
                <w:color w:val="000000"/>
                <w:kern w:val="0"/>
                <w:sz w:val="36"/>
                <w:szCs w:val="36"/>
              </w:rPr>
            </w:pPr>
          </w:p>
        </w:tc>
      </w:tr>
    </w:tbl>
    <w:p>
      <w:pPr>
        <w:rPr>
          <w:rFonts w:ascii="方正小标宋_GBK" w:hAnsi="黑体" w:eastAsia="方正小标宋_GBK"/>
          <w:b/>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 w:name="fzxbs">
    <w:altName w:val="ksdb"/>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ksdb">
    <w:panose1 w:val="02000500000000000000"/>
    <w:charset w:val="00"/>
    <w:family w:val="auto"/>
    <w:pitch w:val="default"/>
    <w:sig w:usb0="00000001"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1824B4"/>
    <w:multiLevelType w:val="singleLevel"/>
    <w:tmpl w:val="141824B4"/>
    <w:lvl w:ilvl="0" w:tentative="0">
      <w:start w:val="1"/>
      <w:numFmt w:val="decimal"/>
      <w:suff w:val="space"/>
      <w:lvlText w:val="[%1]"/>
      <w:lvlJc w:val="left"/>
    </w:lvl>
  </w:abstractNum>
  <w:abstractNum w:abstractNumId="1">
    <w:nsid w:val="2106775C"/>
    <w:multiLevelType w:val="singleLevel"/>
    <w:tmpl w:val="2106775C"/>
    <w:lvl w:ilvl="0" w:tentative="0">
      <w:start w:val="1"/>
      <w:numFmt w:val="chineseCounting"/>
      <w:suff w:val="nothing"/>
      <w:lvlText w:val="%1、"/>
      <w:lvlJc w:val="left"/>
      <w:rPr>
        <w:rFonts w:hint="eastAsia"/>
      </w:rPr>
    </w:lvl>
  </w:abstractNum>
  <w:abstractNum w:abstractNumId="2">
    <w:nsid w:val="242F69B0"/>
    <w:multiLevelType w:val="singleLevel"/>
    <w:tmpl w:val="242F69B0"/>
    <w:lvl w:ilvl="0" w:tentative="0">
      <w:start w:val="1"/>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2ZjZjZGMyY2Q5ZDRhNTZmZmFlYWU0MmU1Y2EwZTAifQ=="/>
  </w:docVars>
  <w:rsids>
    <w:rsidRoot w:val="00BE205C"/>
    <w:rsid w:val="003D643A"/>
    <w:rsid w:val="00612AAB"/>
    <w:rsid w:val="00735601"/>
    <w:rsid w:val="00822812"/>
    <w:rsid w:val="009222CF"/>
    <w:rsid w:val="00923535"/>
    <w:rsid w:val="00945B35"/>
    <w:rsid w:val="00BE205C"/>
    <w:rsid w:val="00C4222B"/>
    <w:rsid w:val="00DD7CDE"/>
    <w:rsid w:val="00DF211D"/>
    <w:rsid w:val="00F22F9D"/>
    <w:rsid w:val="00FF24FD"/>
    <w:rsid w:val="011243B7"/>
    <w:rsid w:val="015E2873"/>
    <w:rsid w:val="029562D6"/>
    <w:rsid w:val="034D4E02"/>
    <w:rsid w:val="03E33071"/>
    <w:rsid w:val="041B366B"/>
    <w:rsid w:val="04877EA0"/>
    <w:rsid w:val="06022AF2"/>
    <w:rsid w:val="069F3BC7"/>
    <w:rsid w:val="06F51A39"/>
    <w:rsid w:val="071F2612"/>
    <w:rsid w:val="0926237D"/>
    <w:rsid w:val="0B3C1600"/>
    <w:rsid w:val="0BDF05C2"/>
    <w:rsid w:val="0C3B7EEE"/>
    <w:rsid w:val="0CB437FC"/>
    <w:rsid w:val="0D0F4ED6"/>
    <w:rsid w:val="0E0013EF"/>
    <w:rsid w:val="0E892711"/>
    <w:rsid w:val="0EB13583"/>
    <w:rsid w:val="0F1D3938"/>
    <w:rsid w:val="0F3E7C84"/>
    <w:rsid w:val="0F6E05DA"/>
    <w:rsid w:val="0FCD3553"/>
    <w:rsid w:val="1027630E"/>
    <w:rsid w:val="10D720C3"/>
    <w:rsid w:val="127E6D86"/>
    <w:rsid w:val="141D612B"/>
    <w:rsid w:val="14945C0E"/>
    <w:rsid w:val="14EB452A"/>
    <w:rsid w:val="15B36D47"/>
    <w:rsid w:val="16442809"/>
    <w:rsid w:val="17E3762F"/>
    <w:rsid w:val="18A24E51"/>
    <w:rsid w:val="19622F5E"/>
    <w:rsid w:val="19921369"/>
    <w:rsid w:val="19C86B39"/>
    <w:rsid w:val="19E33973"/>
    <w:rsid w:val="19E962F6"/>
    <w:rsid w:val="1A0F0B8B"/>
    <w:rsid w:val="1ABD2416"/>
    <w:rsid w:val="1B7156DA"/>
    <w:rsid w:val="1C101718"/>
    <w:rsid w:val="1C153706"/>
    <w:rsid w:val="1C821221"/>
    <w:rsid w:val="1EAD1F88"/>
    <w:rsid w:val="1EF67CA4"/>
    <w:rsid w:val="200C59D1"/>
    <w:rsid w:val="20A51982"/>
    <w:rsid w:val="20E97AC1"/>
    <w:rsid w:val="214967B1"/>
    <w:rsid w:val="22C146B2"/>
    <w:rsid w:val="22EF5136"/>
    <w:rsid w:val="23C72304"/>
    <w:rsid w:val="257638ED"/>
    <w:rsid w:val="25867FD4"/>
    <w:rsid w:val="265C69B1"/>
    <w:rsid w:val="28F37A9E"/>
    <w:rsid w:val="29067EBE"/>
    <w:rsid w:val="2975663E"/>
    <w:rsid w:val="29D11A3A"/>
    <w:rsid w:val="2A297180"/>
    <w:rsid w:val="2A5F0725"/>
    <w:rsid w:val="2AE15CAC"/>
    <w:rsid w:val="2CD51777"/>
    <w:rsid w:val="2D151C3D"/>
    <w:rsid w:val="2D564730"/>
    <w:rsid w:val="2DA60AE7"/>
    <w:rsid w:val="2E6115DE"/>
    <w:rsid w:val="2E9C2616"/>
    <w:rsid w:val="2F9D3AA3"/>
    <w:rsid w:val="2FC42004"/>
    <w:rsid w:val="2FE42CDE"/>
    <w:rsid w:val="319121DA"/>
    <w:rsid w:val="31B9703B"/>
    <w:rsid w:val="3288617A"/>
    <w:rsid w:val="330C763F"/>
    <w:rsid w:val="333A2086"/>
    <w:rsid w:val="348C0A37"/>
    <w:rsid w:val="34B65AB4"/>
    <w:rsid w:val="34E91C3F"/>
    <w:rsid w:val="35814314"/>
    <w:rsid w:val="36AC716F"/>
    <w:rsid w:val="36E52680"/>
    <w:rsid w:val="36F54E8F"/>
    <w:rsid w:val="3751300E"/>
    <w:rsid w:val="38161BC2"/>
    <w:rsid w:val="3AFB2473"/>
    <w:rsid w:val="3B135A0E"/>
    <w:rsid w:val="3B196D9D"/>
    <w:rsid w:val="3B5129DA"/>
    <w:rsid w:val="3D404AB5"/>
    <w:rsid w:val="3EC46841"/>
    <w:rsid w:val="3EE15E23"/>
    <w:rsid w:val="3F2514FF"/>
    <w:rsid w:val="40F40090"/>
    <w:rsid w:val="42072045"/>
    <w:rsid w:val="4222558D"/>
    <w:rsid w:val="422624CB"/>
    <w:rsid w:val="428216CB"/>
    <w:rsid w:val="438A4CDB"/>
    <w:rsid w:val="447C02FC"/>
    <w:rsid w:val="449F0313"/>
    <w:rsid w:val="45660E30"/>
    <w:rsid w:val="45DE130F"/>
    <w:rsid w:val="4655570D"/>
    <w:rsid w:val="4682613E"/>
    <w:rsid w:val="46AC6D17"/>
    <w:rsid w:val="47044DA5"/>
    <w:rsid w:val="472460C4"/>
    <w:rsid w:val="47262F6D"/>
    <w:rsid w:val="47C65743"/>
    <w:rsid w:val="49196884"/>
    <w:rsid w:val="49C12AD9"/>
    <w:rsid w:val="4A583B63"/>
    <w:rsid w:val="4AF15B9D"/>
    <w:rsid w:val="4B607D5D"/>
    <w:rsid w:val="4BAD436F"/>
    <w:rsid w:val="4C085DCC"/>
    <w:rsid w:val="4C143394"/>
    <w:rsid w:val="4C8A4868"/>
    <w:rsid w:val="4CB34C20"/>
    <w:rsid w:val="4E776F50"/>
    <w:rsid w:val="4EA529C9"/>
    <w:rsid w:val="4FBC446F"/>
    <w:rsid w:val="50D1080A"/>
    <w:rsid w:val="510F4A72"/>
    <w:rsid w:val="5187285A"/>
    <w:rsid w:val="51B11685"/>
    <w:rsid w:val="525B501D"/>
    <w:rsid w:val="52AA2CA4"/>
    <w:rsid w:val="52EB55EF"/>
    <w:rsid w:val="537C3595"/>
    <w:rsid w:val="53894668"/>
    <w:rsid w:val="54B75204"/>
    <w:rsid w:val="552F56E3"/>
    <w:rsid w:val="57D035C2"/>
    <w:rsid w:val="59981AA8"/>
    <w:rsid w:val="59D14FBA"/>
    <w:rsid w:val="5A052976"/>
    <w:rsid w:val="5A581238"/>
    <w:rsid w:val="5A706581"/>
    <w:rsid w:val="5AE91429"/>
    <w:rsid w:val="5CEF5572"/>
    <w:rsid w:val="5E1370E2"/>
    <w:rsid w:val="5EE035AA"/>
    <w:rsid w:val="5F6C62D9"/>
    <w:rsid w:val="60F66D22"/>
    <w:rsid w:val="61693D2A"/>
    <w:rsid w:val="631344F6"/>
    <w:rsid w:val="63365E8E"/>
    <w:rsid w:val="635D341B"/>
    <w:rsid w:val="648D1ADE"/>
    <w:rsid w:val="64DB0A9B"/>
    <w:rsid w:val="656A1E1F"/>
    <w:rsid w:val="66A01F9C"/>
    <w:rsid w:val="66E71979"/>
    <w:rsid w:val="66F145A6"/>
    <w:rsid w:val="66FB3677"/>
    <w:rsid w:val="671369AF"/>
    <w:rsid w:val="671D183F"/>
    <w:rsid w:val="6723497B"/>
    <w:rsid w:val="69D22DF1"/>
    <w:rsid w:val="69D37590"/>
    <w:rsid w:val="6A3C6EF8"/>
    <w:rsid w:val="6A425119"/>
    <w:rsid w:val="6B272C8C"/>
    <w:rsid w:val="6B3B6738"/>
    <w:rsid w:val="6E280B8B"/>
    <w:rsid w:val="6F9957DB"/>
    <w:rsid w:val="6FA523D2"/>
    <w:rsid w:val="70797C3F"/>
    <w:rsid w:val="72514A93"/>
    <w:rsid w:val="73B726D3"/>
    <w:rsid w:val="75741AFD"/>
    <w:rsid w:val="75D05CCE"/>
    <w:rsid w:val="76AA4771"/>
    <w:rsid w:val="76EA1F4B"/>
    <w:rsid w:val="7722255A"/>
    <w:rsid w:val="77362777"/>
    <w:rsid w:val="775F37AE"/>
    <w:rsid w:val="778209E5"/>
    <w:rsid w:val="77B2760C"/>
    <w:rsid w:val="77BB108A"/>
    <w:rsid w:val="77F43CE9"/>
    <w:rsid w:val="79427C91"/>
    <w:rsid w:val="79A436FA"/>
    <w:rsid w:val="79AC63D6"/>
    <w:rsid w:val="7A5B5C9A"/>
    <w:rsid w:val="7A910122"/>
    <w:rsid w:val="7B0E1773"/>
    <w:rsid w:val="7BAD0F8C"/>
    <w:rsid w:val="7CE54755"/>
    <w:rsid w:val="7E0A5A13"/>
    <w:rsid w:val="7E8A39E4"/>
    <w:rsid w:val="7EC65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2"/>
    <w:autoRedefine/>
    <w:unhideWhenUsed/>
    <w:qFormat/>
    <w:uiPriority w:val="99"/>
    <w:pPr>
      <w:tabs>
        <w:tab w:val="center" w:pos="4153"/>
        <w:tab w:val="right" w:pos="8306"/>
      </w:tabs>
      <w:snapToGrid w:val="0"/>
      <w:jc w:val="left"/>
    </w:pPr>
    <w:rPr>
      <w:sz w:val="18"/>
      <w:szCs w:val="18"/>
    </w:rPr>
  </w:style>
  <w:style w:type="paragraph" w:styleId="4">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rPr>
  </w:style>
  <w:style w:type="character" w:styleId="9">
    <w:name w:val="Emphasis"/>
    <w:basedOn w:val="7"/>
    <w:qFormat/>
    <w:uiPriority w:val="20"/>
    <w:rPr>
      <w:i/>
    </w:rPr>
  </w:style>
  <w:style w:type="character" w:styleId="10">
    <w:name w:val="Hyperlink"/>
    <w:basedOn w:val="7"/>
    <w:semiHidden/>
    <w:unhideWhenUsed/>
    <w:uiPriority w:val="99"/>
    <w:rPr>
      <w:color w:val="0000FF"/>
      <w:u w:val="single"/>
    </w:rPr>
  </w:style>
  <w:style w:type="character" w:customStyle="1" w:styleId="11">
    <w:name w:val="页眉 字符"/>
    <w:basedOn w:val="7"/>
    <w:link w:val="4"/>
    <w:autoRedefine/>
    <w:qFormat/>
    <w:uiPriority w:val="99"/>
    <w:rPr>
      <w:sz w:val="18"/>
      <w:szCs w:val="18"/>
    </w:rPr>
  </w:style>
  <w:style w:type="character" w:customStyle="1" w:styleId="12">
    <w:name w:val="页脚 字符"/>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26</Words>
  <Characters>149</Characters>
  <Lines>1</Lines>
  <Paragraphs>1</Paragraphs>
  <TotalTime>1</TotalTime>
  <ScaleCrop>false</ScaleCrop>
  <LinksUpToDate>false</LinksUpToDate>
  <CharactersWithSpaces>174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2023-12-27T00:41:00Z</dcterms:created>
  <dc:creator>admin</dc:creator>
  <cp:lastModifiedBy>HP</cp:lastModifiedBy>
  <dcterms:modified xsi:type="dcterms:W3CDTF">2024-01-02T06:05:38Z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8E4F5A5B6CC548B1944896077CE700EE_13</vt:lpwstr>
  </property>
</Properties>
</file>